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1FC14" w14:textId="2D62F3CE" w:rsidR="006115D7" w:rsidRDefault="002C04ED">
      <w:pPr>
        <w:pStyle w:val="Corpotesto"/>
        <w:spacing w:before="4"/>
        <w:ind w:left="0"/>
        <w:jc w:val="left"/>
        <w:rPr>
          <w:sz w:val="6"/>
        </w:rPr>
      </w:pPr>
      <w:bookmarkStart w:id="0" w:name="_GoBack"/>
      <w:r>
        <w:rPr>
          <w:noProof/>
          <w:sz w:val="20"/>
          <w:lang w:eastAsia="it-IT"/>
        </w:rPr>
        <mc:AlternateContent>
          <mc:Choice Requires="wpg">
            <w:drawing>
              <wp:inline distT="0" distB="0" distL="0" distR="0" wp14:anchorId="482FF509" wp14:editId="6668961D">
                <wp:extent cx="6650990" cy="48209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482090"/>
                          <a:chOff x="0" y="1"/>
                          <a:chExt cx="6650990" cy="482090"/>
                        </a:xfrm>
                      </wpg:grpSpPr>
                      <wps:wsp>
                        <wps:cNvPr id="3" name="Graphic 3"/>
                        <wps:cNvSpPr/>
                        <wps:spPr>
                          <a:xfrm>
                            <a:off x="0" y="11810"/>
                            <a:ext cx="6650990" cy="467995"/>
                          </a:xfrm>
                          <a:custGeom>
                            <a:avLst/>
                            <a:gdLst/>
                            <a:ahLst/>
                            <a:cxnLst/>
                            <a:rect l="l" t="t" r="r" b="b"/>
                            <a:pathLst>
                              <a:path w="6650990" h="467995">
                                <a:moveTo>
                                  <a:pt x="6650469" y="0"/>
                                </a:moveTo>
                                <a:lnTo>
                                  <a:pt x="6644386" y="0"/>
                                </a:lnTo>
                                <a:lnTo>
                                  <a:pt x="6644386" y="6096"/>
                                </a:lnTo>
                                <a:lnTo>
                                  <a:pt x="6644386" y="297180"/>
                                </a:lnTo>
                                <a:lnTo>
                                  <a:pt x="6644386" y="461772"/>
                                </a:lnTo>
                                <a:lnTo>
                                  <a:pt x="6096" y="461772"/>
                                </a:lnTo>
                                <a:lnTo>
                                  <a:pt x="6096" y="297180"/>
                                </a:lnTo>
                                <a:lnTo>
                                  <a:pt x="6096" y="6096"/>
                                </a:lnTo>
                                <a:lnTo>
                                  <a:pt x="6644386" y="6096"/>
                                </a:lnTo>
                                <a:lnTo>
                                  <a:pt x="6644386" y="0"/>
                                </a:lnTo>
                                <a:lnTo>
                                  <a:pt x="6096" y="0"/>
                                </a:lnTo>
                                <a:lnTo>
                                  <a:pt x="0" y="0"/>
                                </a:lnTo>
                                <a:lnTo>
                                  <a:pt x="0" y="6096"/>
                                </a:lnTo>
                                <a:lnTo>
                                  <a:pt x="0" y="297180"/>
                                </a:lnTo>
                                <a:lnTo>
                                  <a:pt x="0" y="461772"/>
                                </a:lnTo>
                                <a:lnTo>
                                  <a:pt x="0" y="467868"/>
                                </a:lnTo>
                                <a:lnTo>
                                  <a:pt x="6096" y="467868"/>
                                </a:lnTo>
                                <a:lnTo>
                                  <a:pt x="6644386" y="467868"/>
                                </a:lnTo>
                                <a:lnTo>
                                  <a:pt x="6650469" y="467868"/>
                                </a:lnTo>
                                <a:lnTo>
                                  <a:pt x="6650469" y="461772"/>
                                </a:lnTo>
                                <a:lnTo>
                                  <a:pt x="6650469" y="297180"/>
                                </a:lnTo>
                                <a:lnTo>
                                  <a:pt x="6650469" y="6096"/>
                                </a:lnTo>
                                <a:lnTo>
                                  <a:pt x="6650469"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36576" y="1"/>
                            <a:ext cx="6614414" cy="479680"/>
                          </a:xfrm>
                          <a:prstGeom prst="rect">
                            <a:avLst/>
                          </a:prstGeom>
                        </wps:spPr>
                        <wps:txbx>
                          <w:txbxContent>
                            <w:p w14:paraId="5C6C3D7F" w14:textId="7E61E597" w:rsidR="002C04ED" w:rsidRPr="002C04ED" w:rsidRDefault="002C04ED" w:rsidP="002C04ED">
                              <w:pPr>
                                <w:tabs>
                                  <w:tab w:val="left" w:pos="4320"/>
                                </w:tabs>
                                <w:spacing w:line="319" w:lineRule="exact"/>
                                <w:rPr>
                                  <w:rFonts w:ascii="Calibri" w:hAnsi="Calibri"/>
                                  <w:b/>
                                  <w:sz w:val="28"/>
                                  <w:szCs w:val="28"/>
                                </w:rPr>
                              </w:pPr>
                              <w:r w:rsidRPr="002C04ED">
                                <w:rPr>
                                  <w:rFonts w:ascii="Calibri" w:hAnsi="Calibri"/>
                                  <w:b/>
                                  <w:sz w:val="28"/>
                                  <w:szCs w:val="28"/>
                                </w:rPr>
                                <w:t xml:space="preserve">SCHEDA PER L’INDIVIDUAZIONE DEI DOCENTI SOPRANNUMERARI   RELATIVAMENTE </w:t>
                              </w:r>
                              <w:r w:rsidRPr="002C04ED">
                                <w:rPr>
                                  <w:rFonts w:ascii="Calibri" w:hAnsi="Calibri"/>
                                  <w:b/>
                                  <w:sz w:val="28"/>
                                  <w:szCs w:val="28"/>
                                </w:rPr>
                                <w:t>ALL’ORGANICO 2025/26</w:t>
                              </w:r>
                            </w:p>
                          </w:txbxContent>
                        </wps:txbx>
                        <wps:bodyPr wrap="square" lIns="0" tIns="0" rIns="0" bIns="0" rtlCol="0">
                          <a:noAutofit/>
                        </wps:bodyPr>
                      </wps:wsp>
                      <wps:wsp>
                        <wps:cNvPr id="6" name="Textbox 6"/>
                        <wps:cNvSpPr txBox="1"/>
                        <wps:spPr>
                          <a:xfrm>
                            <a:off x="36576" y="278891"/>
                            <a:ext cx="4834255" cy="203200"/>
                          </a:xfrm>
                          <a:prstGeom prst="rect">
                            <a:avLst/>
                          </a:prstGeom>
                        </wps:spPr>
                        <wps:txbx>
                          <w:txbxContent>
                            <w:p w14:paraId="3F800595" w14:textId="77777777" w:rsidR="002C04ED" w:rsidRDefault="002C04ED" w:rsidP="002C04ED">
                              <w:pPr>
                                <w:tabs>
                                  <w:tab w:val="left" w:pos="5812"/>
                                </w:tabs>
                                <w:spacing w:line="319" w:lineRule="exact"/>
                                <w:rPr>
                                  <w:rFonts w:ascii="Calibri" w:hAnsi="Calibri"/>
                                  <w:b/>
                                </w:rPr>
                              </w:pPr>
                            </w:p>
                          </w:txbxContent>
                        </wps:txbx>
                        <wps:bodyPr wrap="square" lIns="0" tIns="0" rIns="0" bIns="0" rtlCol="0">
                          <a:noAutofit/>
                        </wps:bodyPr>
                      </wps:wsp>
                    </wpg:wgp>
                  </a:graphicData>
                </a:graphic>
              </wp:inline>
            </w:drawing>
          </mc:Choice>
          <mc:Fallback>
            <w:pict>
              <v:group w14:anchorId="482FF509" id="Group 2" o:spid="_x0000_s1026" style="width:523.7pt;height:37.95pt;mso-position-horizontal-relative:char;mso-position-vertical-relative:line" coordorigin="" coordsize="66509,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">
                <v:shape id="Graphic 3" o:spid="_x0000_s1027" style="position:absolute;top:118;width:66509;height:4680;visibility:visible;mso-wrap-style:square;v-text-anchor:top" coordsize="665099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pj/8AA&#10;AADaAAAADwAAAGRycy9kb3ducmV2LnhtbESPQYvCMBSE78L+h/CEvWmqK7JWoyzCwt7EWvD6tnk2&#10;xealNKmt/94IgsdhZr5hNrvB1uJGra8cK5hNExDEhdMVlwry0+/kG4QPyBprx6TgTh5224/RBlPt&#10;ej7SLQuliBD2KSowITSplL4wZNFPXUMcvYtrLYYo21LqFvsIt7WcJ8lSWqw4LhhsaG+ouGadVSBP&#10;57KXh+Osy1dd5kxY/F9zp9TnePhZgwg0hHf41f7TCr7geSXeAL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pj/8AAAADaAAAADwAAAAAAAAAAAAAAAACYAgAAZHJzL2Rvd25y&#10;ZXYueG1sUEsFBgAAAAAEAAQA9QAAAIUDAAAAAA==&#10;" path="m6650469,r-6083,l6644386,6096r,291084l6644386,461772r-6638290,l6096,297180r,-291084l6644386,6096r,-6096l6096,,,,,6096,,297180,,461772r,6096l6096,467868r6638290,l6650469,467868r,-6096l6650469,297180r,-291084l6650469,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365;width:66144;height:4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14:paraId="5C6C3D7F" w14:textId="7E61E597" w:rsidR="002C04ED" w:rsidRPr="002C04ED" w:rsidRDefault="002C04ED" w:rsidP="002C04ED">
                        <w:pPr>
                          <w:tabs>
                            <w:tab w:val="left" w:pos="4320"/>
                          </w:tabs>
                          <w:spacing w:line="319" w:lineRule="exact"/>
                          <w:rPr>
                            <w:rFonts w:ascii="Calibri" w:hAnsi="Calibri"/>
                            <w:b/>
                            <w:sz w:val="28"/>
                            <w:szCs w:val="28"/>
                          </w:rPr>
                        </w:pPr>
                        <w:r w:rsidRPr="002C04ED">
                          <w:rPr>
                            <w:rFonts w:ascii="Calibri" w:hAnsi="Calibri"/>
                            <w:b/>
                            <w:sz w:val="28"/>
                            <w:szCs w:val="28"/>
                          </w:rPr>
                          <w:t xml:space="preserve">SCHEDA PER L’INDIVIDUAZIONE DEI DOCENTI SOPRANNUMERARI   RELATIVAMENTE </w:t>
                        </w:r>
                        <w:r w:rsidRPr="002C04ED">
                          <w:rPr>
                            <w:rFonts w:ascii="Calibri" w:hAnsi="Calibri"/>
                            <w:b/>
                            <w:sz w:val="28"/>
                            <w:szCs w:val="28"/>
                          </w:rPr>
                          <w:t>ALL’ORGANICO 2025/26</w:t>
                        </w:r>
                      </w:p>
                    </w:txbxContent>
                  </v:textbox>
                </v:shape>
                <v:shape id="Textbox 6" o:spid="_x0000_s1029" type="#_x0000_t202" style="position:absolute;left:365;top:2788;width:48343;height:2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14:paraId="3F800595" w14:textId="77777777" w:rsidR="002C04ED" w:rsidRDefault="002C04ED" w:rsidP="002C04ED">
                        <w:pPr>
                          <w:tabs>
                            <w:tab w:val="left" w:pos="5812"/>
                          </w:tabs>
                          <w:spacing w:line="319" w:lineRule="exact"/>
                          <w:rPr>
                            <w:rFonts w:ascii="Calibri" w:hAnsi="Calibri"/>
                            <w:b/>
                          </w:rPr>
                        </w:pPr>
                      </w:p>
                    </w:txbxContent>
                  </v:textbox>
                </v:shape>
                <w10:anchorlock/>
              </v:group>
            </w:pict>
          </mc:Fallback>
        </mc:AlternateContent>
      </w:r>
      <w:bookmarkEnd w:id="0"/>
    </w:p>
    <w:p w14:paraId="6F704170" w14:textId="29CF496C" w:rsidR="006115D7" w:rsidRDefault="006115D7">
      <w:pPr>
        <w:pStyle w:val="Corpotesto"/>
        <w:ind w:left="120" w:right="-29"/>
        <w:jc w:val="left"/>
        <w:rPr>
          <w:sz w:val="20"/>
        </w:rPr>
      </w:pPr>
    </w:p>
    <w:p w14:paraId="408B4C0A" w14:textId="77777777" w:rsidR="006115D7" w:rsidRDefault="00B70DFA">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w:t>
      </w:r>
      <w:proofErr w:type="spellStart"/>
      <w:r>
        <w:rPr>
          <w:sz w:val="20"/>
        </w:rPr>
        <w:t>prov</w:t>
      </w:r>
      <w:proofErr w:type="spellEnd"/>
      <w:r>
        <w:rPr>
          <w:sz w:val="20"/>
        </w:rPr>
        <w:t>.</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14:paraId="3AF0FA45" w14:textId="77777777" w:rsidR="006115D7" w:rsidRDefault="00B70DFA">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B70DFA">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consapevol</w:t>
      </w:r>
      <w:r>
        <w:rPr>
          <w:sz w:val="20"/>
        </w:rPr>
        <w:t xml:space="preserve">e delle responsabilità civili e penali cui va incontro in caso di dichiarazione non corrispondente al </w:t>
      </w:r>
      <w:proofErr w:type="spellStart"/>
      <w:proofErr w:type="gramStart"/>
      <w:r>
        <w:rPr>
          <w:sz w:val="20"/>
        </w:rPr>
        <w:t>vero,ai</w:t>
      </w:r>
      <w:proofErr w:type="spellEnd"/>
      <w:proofErr w:type="gramEnd"/>
      <w:r>
        <w:rPr>
          <w:sz w:val="20"/>
        </w:rPr>
        <w:t xml:space="preserve"> sensi del DPR 28.12.2000 n. 445, così come modificato ed integrato dall’art. 15 della legge 16.1.2003,</w:t>
      </w:r>
    </w:p>
    <w:p w14:paraId="162116E2" w14:textId="77777777" w:rsidR="006115D7" w:rsidRDefault="00B70DFA">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B70DFA">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w:t>
            </w:r>
            <w:r>
              <w:rPr>
                <w:b/>
                <w:spacing w:val="-2"/>
                <w:sz w:val="18"/>
              </w:rPr>
              <w:t>to</w:t>
            </w:r>
          </w:p>
        </w:tc>
        <w:tc>
          <w:tcPr>
            <w:tcW w:w="701" w:type="dxa"/>
          </w:tcPr>
          <w:p w14:paraId="1DA63D1A" w14:textId="77777777" w:rsidR="006115D7" w:rsidRDefault="00B70DFA">
            <w:pPr>
              <w:pStyle w:val="TableParagraph"/>
              <w:spacing w:line="207" w:lineRule="exact"/>
              <w:ind w:left="168"/>
              <w:rPr>
                <w:sz w:val="18"/>
              </w:rPr>
            </w:pPr>
            <w:r>
              <w:rPr>
                <w:spacing w:val="-4"/>
                <w:sz w:val="18"/>
              </w:rPr>
              <w:t>Anni</w:t>
            </w:r>
          </w:p>
        </w:tc>
        <w:tc>
          <w:tcPr>
            <w:tcW w:w="705" w:type="dxa"/>
          </w:tcPr>
          <w:p w14:paraId="0D82CC0A" w14:textId="77777777" w:rsidR="006115D7" w:rsidRDefault="00B70DFA">
            <w:pPr>
              <w:pStyle w:val="TableParagraph"/>
              <w:spacing w:line="207" w:lineRule="exact"/>
              <w:ind w:left="161"/>
              <w:rPr>
                <w:sz w:val="18"/>
              </w:rPr>
            </w:pPr>
            <w:r>
              <w:rPr>
                <w:spacing w:val="-2"/>
                <w:sz w:val="18"/>
              </w:rPr>
              <w:t>Punti</w:t>
            </w:r>
          </w:p>
        </w:tc>
        <w:tc>
          <w:tcPr>
            <w:tcW w:w="1276" w:type="dxa"/>
          </w:tcPr>
          <w:p w14:paraId="6DDA5AF2" w14:textId="77777777" w:rsidR="006115D7" w:rsidRDefault="00B70DFA">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2A126A97" w14:textId="77777777">
        <w:trPr>
          <w:trHeight w:val="461"/>
        </w:trPr>
        <w:tc>
          <w:tcPr>
            <w:tcW w:w="7621" w:type="dxa"/>
          </w:tcPr>
          <w:p w14:paraId="63FDB095" w14:textId="77777777" w:rsidR="006115D7" w:rsidRDefault="00B70DFA">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B70DFA">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B70DFA">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B70DFA">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B70DFA">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B70DFA">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B70DFA">
            <w:pPr>
              <w:pStyle w:val="TableParagraph"/>
              <w:ind w:left="107" w:right="94"/>
              <w:jc w:val="both"/>
              <w:rPr>
                <w:sz w:val="18"/>
              </w:rPr>
            </w:pPr>
            <w:r>
              <w:rPr>
                <w:sz w:val="18"/>
              </w:rPr>
              <w:t xml:space="preserve">B) per ogni </w:t>
            </w:r>
            <w:r>
              <w:rPr>
                <w:sz w:val="18"/>
              </w:rPr>
              <w:t xml:space="preserve">anno di servizio </w:t>
            </w:r>
            <w:proofErr w:type="spellStart"/>
            <w:r>
              <w:rPr>
                <w:sz w:val="18"/>
              </w:rPr>
              <w:t>preruolo</w:t>
            </w:r>
            <w:proofErr w:type="spellEnd"/>
            <w:r>
              <w:rPr>
                <w:sz w:val="18"/>
              </w:rPr>
              <w:t xml:space="preserve"> o di altro servizio di ruolo riconosciuto o riconoscibile ai fini della carriera e per ogni anno di servizio </w:t>
            </w:r>
            <w:proofErr w:type="spellStart"/>
            <w:r>
              <w:rPr>
                <w:sz w:val="18"/>
              </w:rPr>
              <w:t>preruolo</w:t>
            </w:r>
            <w:proofErr w:type="spellEnd"/>
            <w:r>
              <w:rPr>
                <w:sz w:val="18"/>
              </w:rPr>
              <w:t xml:space="preserve"> o di altro servizio di ruolo prestato nel medesimo ruolo di titolarità:</w:t>
            </w:r>
          </w:p>
          <w:p w14:paraId="783EC30F" w14:textId="77777777" w:rsidR="006115D7" w:rsidRDefault="00B70DFA">
            <w:pPr>
              <w:pStyle w:val="TableParagraph"/>
              <w:spacing w:before="207"/>
              <w:ind w:left="107"/>
              <w:rPr>
                <w:b/>
                <w:sz w:val="18"/>
              </w:rPr>
            </w:pPr>
            <w:proofErr w:type="spellStart"/>
            <w:r>
              <w:rPr>
                <w:b/>
                <w:sz w:val="18"/>
              </w:rPr>
              <w:t>a.s</w:t>
            </w:r>
            <w:proofErr w:type="spellEnd"/>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w:t>
            </w:r>
            <w:r>
              <w:rPr>
                <w:sz w:val="18"/>
              </w:rPr>
              <w:t>fanzia il</w:t>
            </w:r>
            <w:r>
              <w:rPr>
                <w:spacing w:val="-3"/>
                <w:sz w:val="18"/>
              </w:rPr>
              <w:t xml:space="preserve"> </w:t>
            </w:r>
            <w:proofErr w:type="spellStart"/>
            <w:r>
              <w:rPr>
                <w:sz w:val="18"/>
              </w:rPr>
              <w:t>preruolo</w:t>
            </w:r>
            <w:proofErr w:type="spellEnd"/>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B70DFA">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proofErr w:type="spellStart"/>
            <w:r>
              <w:rPr>
                <w:sz w:val="18"/>
              </w:rPr>
              <w:t>preruolo</w:t>
            </w:r>
            <w:proofErr w:type="spellEnd"/>
            <w:r>
              <w:rPr>
                <w:sz w:val="18"/>
              </w:rPr>
              <w:t xml:space="preserve">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B70DFA">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proofErr w:type="spellStart"/>
            <w:r>
              <w:rPr>
                <w:sz w:val="18"/>
              </w:rPr>
              <w:t>preruolo</w:t>
            </w:r>
            <w:proofErr w:type="spellEnd"/>
            <w:r>
              <w:rPr>
                <w:sz w:val="18"/>
              </w:rPr>
              <w:t xml:space="preserve">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B70DFA">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proofErr w:type="spellStart"/>
            <w:r>
              <w:rPr>
                <w:sz w:val="18"/>
              </w:rPr>
              <w:t>preruolo</w:t>
            </w:r>
            <w:proofErr w:type="spellEnd"/>
            <w:r>
              <w:rPr>
                <w:sz w:val="18"/>
              </w:rPr>
              <w:t xml:space="preserve">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B70DFA">
            <w:pPr>
              <w:pStyle w:val="TableParagraph"/>
              <w:spacing w:before="2"/>
              <w:ind w:left="2136"/>
              <w:rPr>
                <w:b/>
                <w:sz w:val="18"/>
              </w:rPr>
            </w:pPr>
            <w:r>
              <w:rPr>
                <w:sz w:val="18"/>
              </w:rPr>
              <w:t>Il</w:t>
            </w:r>
            <w:r>
              <w:rPr>
                <w:spacing w:val="-5"/>
                <w:sz w:val="18"/>
              </w:rPr>
              <w:t xml:space="preserve"> </w:t>
            </w:r>
            <w:proofErr w:type="spellStart"/>
            <w:r>
              <w:rPr>
                <w:sz w:val="18"/>
              </w:rPr>
              <w:t>preruolo</w:t>
            </w:r>
            <w:proofErr w:type="spellEnd"/>
            <w:r>
              <w:rPr>
                <w:sz w:val="18"/>
              </w:rPr>
              <w:t xml:space="preserve">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proofErr w:type="gramStart"/>
            <w:r>
              <w:rPr>
                <w:sz w:val="18"/>
              </w:rPr>
              <w:t>grado</w:t>
            </w:r>
            <w:r>
              <w:rPr>
                <w:spacing w:val="45"/>
                <w:sz w:val="18"/>
              </w:rPr>
              <w:t xml:space="preserve">  </w:t>
            </w:r>
            <w:r>
              <w:rPr>
                <w:b/>
                <w:sz w:val="18"/>
              </w:rPr>
              <w:t>PUNTI</w:t>
            </w:r>
            <w:proofErr w:type="gramEnd"/>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B70DFA">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B70DFA">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proofErr w:type="spellStart"/>
            <w:r>
              <w:rPr>
                <w:sz w:val="18"/>
              </w:rPr>
              <w:t>preruolo</w:t>
            </w:r>
            <w:proofErr w:type="spellEnd"/>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B70DFA">
            <w:pPr>
              <w:pStyle w:val="TableParagraph"/>
              <w:spacing w:before="1" w:line="207" w:lineRule="exact"/>
              <w:ind w:left="2225"/>
              <w:rPr>
                <w:b/>
                <w:sz w:val="18"/>
              </w:rPr>
            </w:pPr>
            <w:r>
              <w:rPr>
                <w:sz w:val="18"/>
              </w:rPr>
              <w:t>Il</w:t>
            </w:r>
            <w:r>
              <w:rPr>
                <w:spacing w:val="-3"/>
                <w:sz w:val="18"/>
              </w:rPr>
              <w:t xml:space="preserve"> </w:t>
            </w:r>
            <w:proofErr w:type="spellStart"/>
            <w:r>
              <w:rPr>
                <w:sz w:val="18"/>
              </w:rPr>
              <w:t>preruolo</w:t>
            </w:r>
            <w:proofErr w:type="spellEnd"/>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B70DFA">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B70DFA">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proofErr w:type="spellStart"/>
            <w:r>
              <w:rPr>
                <w:sz w:val="18"/>
              </w:rPr>
              <w:t>preruolo</w:t>
            </w:r>
            <w:proofErr w:type="spellEnd"/>
            <w:r>
              <w:rPr>
                <w:sz w:val="18"/>
              </w:rPr>
              <w:t xml:space="preserve">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B70DFA">
            <w:pPr>
              <w:pStyle w:val="TableParagraph"/>
              <w:spacing w:before="2" w:line="207" w:lineRule="exact"/>
              <w:ind w:left="3036"/>
              <w:rPr>
                <w:b/>
                <w:sz w:val="18"/>
              </w:rPr>
            </w:pPr>
            <w:r>
              <w:rPr>
                <w:sz w:val="18"/>
              </w:rPr>
              <w:t>Il</w:t>
            </w:r>
            <w:r>
              <w:rPr>
                <w:spacing w:val="-3"/>
                <w:sz w:val="18"/>
              </w:rPr>
              <w:t xml:space="preserve"> </w:t>
            </w:r>
            <w:proofErr w:type="spellStart"/>
            <w:r>
              <w:rPr>
                <w:sz w:val="18"/>
              </w:rPr>
              <w:t>preuolo</w:t>
            </w:r>
            <w:proofErr w:type="spellEnd"/>
            <w:r>
              <w:rPr>
                <w:sz w:val="18"/>
              </w:rPr>
              <w:t xml:space="preserve">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B70DFA">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B70DFA">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proofErr w:type="spellStart"/>
            <w:r>
              <w:rPr>
                <w:sz w:val="18"/>
              </w:rPr>
              <w:t>preruolo</w:t>
            </w:r>
            <w:proofErr w:type="spellEnd"/>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B70DFA">
            <w:pPr>
              <w:pStyle w:val="TableParagraph"/>
              <w:spacing w:before="2" w:line="207" w:lineRule="exact"/>
              <w:ind w:left="2856"/>
              <w:rPr>
                <w:b/>
                <w:sz w:val="18"/>
              </w:rPr>
            </w:pPr>
            <w:r>
              <w:rPr>
                <w:sz w:val="18"/>
              </w:rPr>
              <w:t>Il</w:t>
            </w:r>
            <w:r>
              <w:rPr>
                <w:spacing w:val="-4"/>
                <w:sz w:val="18"/>
              </w:rPr>
              <w:t xml:space="preserve"> </w:t>
            </w:r>
            <w:proofErr w:type="spellStart"/>
            <w:r>
              <w:rPr>
                <w:sz w:val="18"/>
              </w:rPr>
              <w:t>preruolo</w:t>
            </w:r>
            <w:proofErr w:type="spellEnd"/>
            <w:r>
              <w:rPr>
                <w:sz w:val="18"/>
              </w:rPr>
              <w:t xml:space="preserve">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B70DFA">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B70DFA">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proofErr w:type="spellStart"/>
            <w:r>
              <w:rPr>
                <w:b/>
                <w:sz w:val="18"/>
              </w:rPr>
              <w:t>preruolo</w:t>
            </w:r>
            <w:proofErr w:type="spellEnd"/>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B70DFA">
            <w:pPr>
              <w:pStyle w:val="TableParagraph"/>
              <w:ind w:left="107" w:right="94"/>
              <w:jc w:val="both"/>
              <w:rPr>
                <w:sz w:val="18"/>
              </w:rPr>
            </w:pPr>
            <w:r>
              <w:rPr>
                <w:sz w:val="18"/>
              </w:rPr>
              <w:t xml:space="preserve">B1) per ogni anno di </w:t>
            </w:r>
            <w:r>
              <w:rPr>
                <w:sz w:val="18"/>
              </w:rPr>
              <w:t xml:space="preserve">servizio </w:t>
            </w:r>
            <w:proofErr w:type="spellStart"/>
            <w:r>
              <w:rPr>
                <w:sz w:val="18"/>
              </w:rPr>
              <w:t>preruolo</w:t>
            </w:r>
            <w:proofErr w:type="spellEnd"/>
            <w:r>
              <w:rPr>
                <w:sz w:val="18"/>
              </w:rPr>
              <w:t xml:space="preserve">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 xml:space="preserve">servizio </w:t>
            </w:r>
            <w:proofErr w:type="spellStart"/>
            <w:r>
              <w:rPr>
                <w:sz w:val="18"/>
              </w:rPr>
              <w:t>preruolo</w:t>
            </w:r>
            <w:proofErr w:type="spellEnd"/>
            <w:r>
              <w:rPr>
                <w:sz w:val="18"/>
              </w:rPr>
              <w:t xml:space="preserve">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 xml:space="preserve">dell'infanzia, effettivamente prestato (2) in scuole o istituti situati nelle </w:t>
            </w:r>
            <w:r>
              <w:rPr>
                <w:sz w:val="18"/>
              </w:rPr>
              <w:t>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B70DFA">
            <w:pPr>
              <w:pStyle w:val="TableParagraph"/>
              <w:tabs>
                <w:tab w:val="left" w:pos="6733"/>
              </w:tabs>
              <w:spacing w:before="207"/>
              <w:ind w:left="107"/>
              <w:jc w:val="both"/>
              <w:rPr>
                <w:b/>
                <w:sz w:val="18"/>
              </w:rPr>
            </w:pPr>
            <w:r>
              <w:rPr>
                <w:b/>
                <w:sz w:val="18"/>
              </w:rPr>
              <w:t>Per</w:t>
            </w:r>
            <w:r>
              <w:rPr>
                <w:b/>
                <w:spacing w:val="-1"/>
                <w:sz w:val="18"/>
              </w:rPr>
              <w:t xml:space="preserve"> </w:t>
            </w:r>
            <w:r>
              <w:rPr>
                <w:b/>
                <w:sz w:val="18"/>
              </w:rPr>
              <w:t>l’</w:t>
            </w:r>
            <w:proofErr w:type="spellStart"/>
            <w:r>
              <w:rPr>
                <w:b/>
                <w:sz w:val="18"/>
              </w:rPr>
              <w:t>a.s</w:t>
            </w:r>
            <w:proofErr w:type="spellEnd"/>
            <w:r>
              <w:rPr>
                <w:b/>
                <w:sz w:val="18"/>
              </w:rPr>
              <w:t xml:space="preserve">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B70DFA">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w:t>
            </w:r>
            <w:r>
              <w:rPr>
                <w:sz w:val="18"/>
              </w:rPr>
              <w: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B70DFA">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B70DFA">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B70DFA">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proofErr w:type="spellStart"/>
            <w:r>
              <w:rPr>
                <w:sz w:val="4"/>
              </w:rPr>
              <w:t>é</w:t>
            </w:r>
            <w:proofErr w:type="spellEnd"/>
            <w:r>
              <w:rPr>
                <w:sz w:val="4"/>
              </w:rPr>
              <w:t xml:space="preserve"> </w:t>
            </w:r>
            <w:r>
              <w:rPr>
                <w:sz w:val="18"/>
              </w:rPr>
              <w:t>prest</w:t>
            </w:r>
            <w:r>
              <w:rPr>
                <w:sz w:val="18"/>
              </w:rPr>
              <w: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B70DFA">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proofErr w:type="spellStart"/>
            <w:r>
              <w:rPr>
                <w:sz w:val="4"/>
              </w:rPr>
              <w:t>é</w:t>
            </w:r>
            <w:proofErr w:type="spellEnd"/>
            <w:r>
              <w:rPr>
                <w:sz w:val="4"/>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7"/>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B70DFA">
            <w:pPr>
              <w:pStyle w:val="TableParagraph"/>
              <w:tabs>
                <w:tab w:val="left" w:pos="6802"/>
              </w:tabs>
              <w:ind w:left="107" w:right="164"/>
              <w:rPr>
                <w:b/>
                <w:sz w:val="18"/>
              </w:rPr>
            </w:pPr>
            <w:r>
              <w:rPr>
                <w:sz w:val="18"/>
              </w:rPr>
              <w:t xml:space="preserve">C) per il servizio di ruolo prestato senza soluzione di continuità negli ultimi tre anni scolastici nella scuola di attuale titolarità ovvero nella scuola di </w:t>
            </w:r>
            <w:r>
              <w:rPr>
                <w:sz w:val="18"/>
              </w:rPr>
              <w:t>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B70DFA">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B70DFA">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B70DFA">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B70DFA">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B70DFA">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B70DFA">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B70DFA">
            <w:pPr>
              <w:pStyle w:val="TableParagraph"/>
              <w:ind w:left="107" w:right="209"/>
              <w:rPr>
                <w:sz w:val="18"/>
              </w:rPr>
            </w:pPr>
            <w:r>
              <w:rPr>
                <w:sz w:val="18"/>
              </w:rPr>
              <w:t>per il servizio di ruolo effettivamente prestato per un solo</w:t>
            </w:r>
            <w:r>
              <w:rPr>
                <w:sz w:val="18"/>
              </w:rPr>
              <w:t xml:space="preserve">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B70DFA">
            <w:pPr>
              <w:pStyle w:val="TableParagraph"/>
              <w:ind w:left="107" w:right="185" w:firstLine="6620"/>
              <w:rPr>
                <w:sz w:val="18"/>
              </w:rPr>
            </w:pPr>
            <w:r>
              <w:rPr>
                <w:b/>
                <w:sz w:val="18"/>
              </w:rPr>
              <w:t>Punti</w:t>
            </w:r>
            <w:r>
              <w:rPr>
                <w:b/>
                <w:spacing w:val="-12"/>
                <w:sz w:val="18"/>
              </w:rPr>
              <w:t xml:space="preserve"> </w:t>
            </w:r>
            <w:r>
              <w:rPr>
                <w:b/>
                <w:sz w:val="18"/>
              </w:rPr>
              <w:t>1</w:t>
            </w:r>
            <w:r>
              <w:rPr>
                <w:b/>
                <w:sz w:val="18"/>
              </w:rPr>
              <w:t xml:space="preserve">,5 </w:t>
            </w:r>
            <w:r>
              <w:rPr>
                <w:sz w:val="18"/>
              </w:rPr>
              <w:t>per il servizio di ruolo effettivamente prestato per un solo triennio senza soluzione di continuità, a partire dall' anno scolastico 92/93 fino all' anno scolastico 97/98, come docente "specialista" per l'insegnamento della lingua straniera (in aggiunta</w:t>
            </w:r>
            <w:r>
              <w:rPr>
                <w:sz w:val="18"/>
              </w:rPr>
              <w:t xml:space="preserve"> a quello previsto dalle lettere A, A1, B, B2, C)</w:t>
            </w:r>
          </w:p>
          <w:p w14:paraId="67C2D51B" w14:textId="77777777" w:rsidR="006115D7" w:rsidRDefault="00B70DFA">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B70DFA">
            <w:pPr>
              <w:pStyle w:val="TableParagraph"/>
              <w:tabs>
                <w:tab w:val="left" w:pos="6718"/>
              </w:tabs>
              <w:ind w:left="107" w:right="21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w:t>
            </w:r>
            <w:r>
              <w:rPr>
                <w:sz w:val="18"/>
              </w:rPr>
              <w:t xml:space="preserve">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B70DFA">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B70DFA">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B70DFA">
            <w:pPr>
              <w:pStyle w:val="TableParagraph"/>
              <w:spacing w:line="275" w:lineRule="exact"/>
              <w:ind w:left="105"/>
              <w:rPr>
                <w:sz w:val="24"/>
              </w:rPr>
            </w:pPr>
            <w:r>
              <w:rPr>
                <w:spacing w:val="-2"/>
                <w:sz w:val="24"/>
              </w:rPr>
              <w:t>Punti</w:t>
            </w:r>
          </w:p>
        </w:tc>
        <w:tc>
          <w:tcPr>
            <w:tcW w:w="1270" w:type="dxa"/>
          </w:tcPr>
          <w:p w14:paraId="3071491B" w14:textId="77777777" w:rsidR="006115D7" w:rsidRDefault="00B70DFA">
            <w:pPr>
              <w:pStyle w:val="TableParagraph"/>
              <w:spacing w:line="206" w:lineRule="exact"/>
              <w:ind w:left="105"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5937270A" w14:textId="77777777">
        <w:trPr>
          <w:trHeight w:val="671"/>
        </w:trPr>
        <w:tc>
          <w:tcPr>
            <w:tcW w:w="7722" w:type="dxa"/>
          </w:tcPr>
          <w:p w14:paraId="15EA4ACC" w14:textId="77777777" w:rsidR="006115D7" w:rsidRDefault="00B70DFA">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B70DFA">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B70DFA">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 xml:space="preserve">di età </w:t>
            </w:r>
            <w:r>
              <w:rPr>
                <w:sz w:val="18"/>
              </w:rPr>
              <w:t>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B70DFA">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B70DFA">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B70DFA">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B70DFA">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B70DFA">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B70DFA">
            <w:pPr>
              <w:pStyle w:val="TableParagraph"/>
              <w:spacing w:line="275" w:lineRule="exact"/>
              <w:ind w:left="105"/>
              <w:rPr>
                <w:sz w:val="24"/>
              </w:rPr>
            </w:pPr>
            <w:r>
              <w:rPr>
                <w:spacing w:val="-2"/>
                <w:sz w:val="24"/>
              </w:rPr>
              <w:t>Punti</w:t>
            </w:r>
          </w:p>
        </w:tc>
        <w:tc>
          <w:tcPr>
            <w:tcW w:w="1280" w:type="dxa"/>
          </w:tcPr>
          <w:p w14:paraId="6763B6BF" w14:textId="77777777" w:rsidR="006115D7" w:rsidRDefault="00B70DFA">
            <w:pPr>
              <w:pStyle w:val="TableParagraph"/>
              <w:spacing w:line="206" w:lineRule="exact"/>
              <w:ind w:left="104" w:right="298"/>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06F2945F" w14:textId="77777777">
        <w:trPr>
          <w:trHeight w:val="625"/>
        </w:trPr>
        <w:tc>
          <w:tcPr>
            <w:tcW w:w="7737" w:type="dxa"/>
          </w:tcPr>
          <w:p w14:paraId="3931164C" w14:textId="77777777" w:rsidR="006115D7" w:rsidRDefault="00B70DFA">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 xml:space="preserve">al momento della presentazione della domanda, o a ruoli di livello </w:t>
            </w:r>
            <w:r>
              <w:rPr>
                <w:sz w:val="16"/>
              </w:rPr>
              <w:t>pari o superiore a quello di appartenenza (10)</w:t>
            </w:r>
          </w:p>
          <w:p w14:paraId="2B314424" w14:textId="77777777" w:rsidR="006115D7" w:rsidRDefault="00B70DFA">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B70DFA">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w:t>
            </w:r>
            <w:r>
              <w:rPr>
                <w:sz w:val="16"/>
              </w:rPr>
              <w:t xml:space="preserv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B70DFA">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B70DFA">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B70DFA">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w:t>
            </w:r>
            <w:r>
              <w:rPr>
                <w:sz w:val="16"/>
              </w:rPr>
              <w:t>mente necessario per</w:t>
            </w:r>
          </w:p>
          <w:p w14:paraId="1447744C" w14:textId="77777777" w:rsidR="006115D7" w:rsidRDefault="00B70DFA">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B70DFA">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B70DFA">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B70DFA">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B70DFA">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B70DFA">
            <w:pPr>
              <w:pStyle w:val="TableParagraph"/>
              <w:tabs>
                <w:tab w:val="left" w:pos="6903"/>
              </w:tabs>
              <w:spacing w:before="1"/>
              <w:ind w:left="107" w:right="114"/>
              <w:rPr>
                <w:b/>
                <w:sz w:val="16"/>
              </w:rPr>
            </w:pPr>
            <w:r>
              <w:rPr>
                <w:sz w:val="16"/>
              </w:rPr>
              <w:t xml:space="preserve">E) per ogni diploma di laurea con corso di durata almeno </w:t>
            </w:r>
            <w:r>
              <w:rPr>
                <w:sz w:val="16"/>
              </w:rPr>
              <w:t>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w:t>
            </w:r>
            <w:r>
              <w:rPr>
                <w:sz w:val="16"/>
              </w:rPr>
              <w:t>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B70DFA">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B70DFA">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B70DFA">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 xml:space="preserve">compreso nei piani attuati dal ministero, con la collaborazione degli Uffici </w:t>
            </w:r>
            <w:r>
              <w:rPr>
                <w:sz w:val="16"/>
              </w:rPr>
              <w:t>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B70DFA">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B70DFA">
            <w:pPr>
              <w:pStyle w:val="TableParagraph"/>
              <w:tabs>
                <w:tab w:val="left" w:pos="6884"/>
              </w:tabs>
              <w:spacing w:before="1"/>
              <w:ind w:left="107" w:right="119"/>
              <w:rPr>
                <w:b/>
                <w:sz w:val="16"/>
              </w:rPr>
            </w:pPr>
            <w:r>
              <w:rPr>
                <w:sz w:val="16"/>
              </w:rPr>
              <w:t xml:space="preserve">H) per ogni partecipazione agli esami di stato conclusivi dei </w:t>
            </w:r>
            <w:r>
              <w:rPr>
                <w:sz w:val="16"/>
              </w:rPr>
              <w:t>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 xml:space="preserve">commissione o di componente esterno o di componente interno, compresa </w:t>
            </w:r>
            <w:r>
              <w:rPr>
                <w:sz w:val="16"/>
              </w:rPr>
              <w:t>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B70DFA">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 xml:space="preserve">al Decreto Direttoriale n. 6 del 16 aprile 2012 </w:t>
            </w:r>
            <w:r>
              <w:rPr>
                <w:sz w:val="16"/>
              </w:rPr>
              <w:t>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B70DFA">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B70DFA">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B70DFA">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B70DFA">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 xml:space="preserve">presso le strutture universitarie, sono in possesso di un ATTESTATO di </w:t>
            </w:r>
            <w:r>
              <w:rPr>
                <w:sz w:val="16"/>
              </w:rPr>
              <w:t>frequenza al corso di perfezionamento.</w:t>
            </w:r>
          </w:p>
          <w:p w14:paraId="72251430" w14:textId="77777777" w:rsidR="006115D7" w:rsidRDefault="00B70DFA">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B70DFA">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B70DFA">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B70DFA">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proofErr w:type="spellStart"/>
      <w:r>
        <w:t>all</w:t>
      </w:r>
      <w:proofErr w:type="spellEnd"/>
      <w:r>
        <w:t>.</w:t>
      </w:r>
      <w:r>
        <w:rPr>
          <w:spacing w:val="-2"/>
        </w:rPr>
        <w:t xml:space="preserve"> </w:t>
      </w:r>
      <w:r>
        <w:t>D),</w:t>
      </w:r>
      <w:r>
        <w:rPr>
          <w:spacing w:val="-1"/>
        </w:rPr>
        <w:t xml:space="preserve"> </w:t>
      </w:r>
      <w:r>
        <w:rPr>
          <w:spacing w:val="-5"/>
        </w:rPr>
        <w:t>F)</w:t>
      </w:r>
    </w:p>
    <w:p w14:paraId="5E57A65D" w14:textId="77777777" w:rsidR="006115D7" w:rsidRDefault="00B70DFA">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r>
      <w:proofErr w:type="gramStart"/>
      <w:r>
        <w:t>firma</w:t>
      </w:r>
      <w:proofErr w:type="gramEnd"/>
      <w:r>
        <w:t xml:space="preserve"> .............................................................................................. .</w:t>
      </w:r>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B70DFA">
      <w:pPr>
        <w:spacing w:before="91"/>
        <w:ind w:left="178" w:right="80"/>
        <w:jc w:val="both"/>
        <w:rPr>
          <w:rFonts w:ascii="Tahoma" w:hAnsi="Tahoma"/>
          <w:b/>
        </w:rPr>
      </w:pPr>
      <w:r>
        <w:rPr>
          <w:rFonts w:ascii="Tahoma" w:hAnsi="Tahoma"/>
          <w:b/>
        </w:rPr>
        <w:lastRenderedPageBreak/>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B70DFA">
      <w:pPr>
        <w:pStyle w:val="Corpotesto"/>
        <w:spacing w:before="219"/>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B70DFA">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B70DFA">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B70DFA">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w:t>
      </w:r>
      <w:r>
        <w:rPr>
          <w:sz w:val="18"/>
        </w:rPr>
        <w:t>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B70DFA">
      <w:pPr>
        <w:pStyle w:val="Paragrafoelenco"/>
        <w:numPr>
          <w:ilvl w:val="0"/>
          <w:numId w:val="6"/>
        </w:numPr>
        <w:tabs>
          <w:tab w:val="left" w:pos="309"/>
        </w:tabs>
        <w:ind w:right="73" w:firstLine="0"/>
        <w:rPr>
          <w:sz w:val="18"/>
        </w:rPr>
      </w:pPr>
      <w:r>
        <w:rPr>
          <w:sz w:val="18"/>
        </w:rPr>
        <w:t xml:space="preserve">nella valutazione delle esigenze di famiglia (per i trasferimenti a domanda e d’ufficio) è necessario che queste </w:t>
      </w:r>
      <w:r>
        <w:rPr>
          <w:sz w:val="18"/>
        </w:rPr>
        <w:t>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B70DFA">
      <w:pPr>
        <w:pStyle w:val="Corpotesto"/>
        <w:ind w:right="72"/>
      </w:pPr>
      <w:r>
        <w:t>L’anzianità di servizio di cui alle lett</w:t>
      </w:r>
      <w:r>
        <w:t>ere A) e B) del punto I della tabella deve essere attestata dall'interessato, con apposita dichiarazione personale. Non interrompe la maturazione del punteggio del servizio la fruizione del congedo parentale di cui agli artt. 32, 33 e 34 del decreto legisl</w:t>
      </w:r>
      <w:r>
        <w:t>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w:t>
      </w:r>
      <w:r>
        <w:t>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 xml:space="preserve">A) comprende </w:t>
      </w:r>
      <w:r>
        <w:t>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nomina nel ruolo di appartenenza anteriore alla d</w:t>
      </w:r>
      <w:r>
        <w:t>ecorrenza economica rientra invece in quella prevista dalla lettera B), qualora non sia stato prestato alcun servizio o se il servizio non sia stato prestato nel ruolo di appartenenza. Va invece considerato servizio di ruolo a tutti gli effetti quello deri</w:t>
      </w:r>
      <w:r>
        <w:t xml:space="preserve">vante dalla </w:t>
      </w:r>
      <w:proofErr w:type="spellStart"/>
      <w:r>
        <w:t>restitutio</w:t>
      </w:r>
      <w:proofErr w:type="spellEnd"/>
      <w:r>
        <w:t xml:space="preserve"> in </w:t>
      </w:r>
      <w:proofErr w:type="spellStart"/>
      <w:r>
        <w:t>integrum</w:t>
      </w:r>
      <w:proofErr w:type="spellEnd"/>
      <w:r>
        <w:t xml:space="preserve"> operata a seguito di un giudicato.</w:t>
      </w:r>
    </w:p>
    <w:p w14:paraId="0F1886FC" w14:textId="77777777" w:rsidR="006115D7" w:rsidRDefault="00B70DFA">
      <w:pPr>
        <w:pStyle w:val="Corpotesto"/>
        <w:spacing w:before="1"/>
        <w:ind w:right="73"/>
      </w:pPr>
      <w:r>
        <w:t xml:space="preserve">Sono compresi nella lettera A) gli anni di servizio prestati dai docenti di educazione fisica nel ruolo unico (scuola secondaria di I grado ed istituti di istruzione secondaria di II </w:t>
      </w:r>
      <w:r>
        <w:t>grado) nonché nel ruolo ad esaurimento nel quale i docenti stessi furono inquadrati a norma dell’art. 16, decreto-legge 30 gennaio 1976 n. 13 convertito dalla legge 30.3.1976, n. 88. Il servizio prestato in ruoli diversi da quello di appartenenza, a seguit</w:t>
      </w:r>
      <w:r>
        <w:t>o di utilizzazione o assegnazione provvisoria, è valutato ai sensi della lettera A) con riferimento al ruolo di appartenenza.</w:t>
      </w:r>
    </w:p>
    <w:p w14:paraId="3AFF2B2B" w14:textId="77777777" w:rsidR="006115D7" w:rsidRDefault="00B70DFA">
      <w:pPr>
        <w:pStyle w:val="Corpotesto"/>
        <w:ind w:right="74"/>
      </w:pPr>
      <w:r>
        <w:t>L'anzianità di cui alla lettera B) comprende gli anni di ruolo anteriori alla nomina nel ruolo di appartenenza non coperti da effe</w:t>
      </w:r>
      <w:r>
        <w:t>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 xml:space="preserve">nella carriera di attuale appartenenza. Tale anzianità comprende anche il servizio </w:t>
      </w:r>
      <w:proofErr w:type="spellStart"/>
      <w:r>
        <w:t>preruolo</w:t>
      </w:r>
      <w:proofErr w:type="spellEnd"/>
      <w:r>
        <w:t xml:space="preserve"> e di</w:t>
      </w:r>
      <w:r>
        <w:t xml:space="preserve"> ruolo prestato nella scuola dell’infanzia da valutare nella stessa misura dei servizi prestati nella scuola primaria; comprende, altresì, il servizio di ruolo e non di ruolo prestato nell’insegnamento della religione cattolica ed i servizi di insegnamento</w:t>
      </w:r>
      <w:r>
        <w:t xml:space="preserve">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 xml:space="preserve">nell’Unione Europea (Legge n. </w:t>
      </w:r>
      <w:r>
        <w:t>101 del 6 giugno 2008). Ai fini della valutazione tali servizi devono essere debitamente certificati dall’Autorità diplomatica italiana nello Stato estero.</w:t>
      </w:r>
    </w:p>
    <w:p w14:paraId="6A27DE3F" w14:textId="77777777" w:rsidR="006115D7" w:rsidRDefault="00B70DFA">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w:t>
      </w:r>
      <w:r>
        <w:t xml:space="preserve">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w:t>
      </w:r>
      <w:r>
        <w:t>gno. Si rammenta che il servizio militare di leva, o il sostitutivo servizio civile, può essere valutato solo se prestato in costanza di rapporto di impiego come docente a tempo determinato nella scuola statale. Il servizio prestato in qualità di incaricat</w:t>
      </w:r>
      <w:r>
        <w:t>o ex art. 36 del C.C.N.L.</w:t>
      </w:r>
    </w:p>
    <w:p w14:paraId="1685F79F" w14:textId="77777777" w:rsidR="006115D7" w:rsidRDefault="00B70DFA">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B70DFA">
      <w:pPr>
        <w:pStyle w:val="Corpotesto"/>
        <w:ind w:right="74"/>
      </w:pPr>
      <w:r>
        <w:t>La valutazio</w:t>
      </w:r>
      <w:r>
        <w:t>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B70DFA">
      <w:pPr>
        <w:pStyle w:val="Corpotesto"/>
        <w:ind w:right="72"/>
      </w:pPr>
      <w:r>
        <w:t>Per gli insegnanti di educazione fi</w:t>
      </w:r>
      <w:r>
        <w:t>sica non è riconoscibile il servizio prestato senza il possesso del diploma rilasciato dall'I.S.E.F. o di titoli equipollenti secondo l'ordinamento anteriore alla legge 7.2.1958, n. 88 (</w:t>
      </w:r>
      <w:proofErr w:type="spellStart"/>
      <w:r>
        <w:t>tab</w:t>
      </w:r>
      <w:proofErr w:type="spellEnd"/>
      <w:r>
        <w:t>. A, classe A029 e A 030 decreto ministeriale 30.1.1998 n. 39 e suc</w:t>
      </w:r>
      <w:r>
        <w:t>cessive modifiche).</w:t>
      </w:r>
    </w:p>
    <w:p w14:paraId="3B9711E3" w14:textId="77777777" w:rsidR="006115D7" w:rsidRDefault="00B70DFA">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2D961280" w14:textId="77777777" w:rsidR="006115D7" w:rsidRDefault="00B70DFA">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B70DFA">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B70DFA">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B70DFA">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B70DFA">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B70DFA">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B70DFA">
      <w:pPr>
        <w:pStyle w:val="Corpotesto"/>
        <w:spacing w:before="1"/>
        <w:ind w:right="73"/>
      </w:pPr>
      <w:r>
        <w:t>Oltre che per i</w:t>
      </w:r>
      <w:r>
        <w:rPr>
          <w:spacing w:val="-1"/>
        </w:rPr>
        <w:t xml:space="preserve"> </w:t>
      </w:r>
      <w:r>
        <w:t>docenti delle scuole ed istituti d</w:t>
      </w:r>
      <w:r>
        <w:t>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 xml:space="preserve">anche se alla data di inizio dell'anno in corso, gli </w:t>
      </w:r>
      <w:r>
        <w:t>interessati non abbiano ancora superato il periodo di prova ai sensi della legge n. 251 del 5.6.1985.</w:t>
      </w:r>
    </w:p>
    <w:p w14:paraId="363DDCCB" w14:textId="77777777" w:rsidR="006115D7" w:rsidRDefault="00B70DFA">
      <w:pPr>
        <w:pStyle w:val="Corpotesto"/>
        <w:spacing w:before="1"/>
        <w:ind w:right="74"/>
      </w:pPr>
      <w:r>
        <w:t>Il servizio di ruolo o non di ruolo effettivamente prestato in scuole o istituti situati nelle piccole isole è valutato il doppio, anche nei casi di manca</w:t>
      </w:r>
      <w:r>
        <w:t>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B70DFA">
      <w:pPr>
        <w:pStyle w:val="Corpotesto"/>
        <w:ind w:right="71"/>
      </w:pPr>
      <w:r>
        <w:t>Qualora il docente abbia usufruito d</w:t>
      </w:r>
      <w:r>
        <w:t>i periodi di aspettativa per famiglia il punteggio per i servizi di ruolo di cui alle lettere A) e B) del punto I della tabella di valutazione sarà attribuito per intero, a condizione che nel relativo anno scolastico l'interessato abbia prestato un servizi</w:t>
      </w:r>
      <w:r>
        <w:t>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w:t>
      </w:r>
      <w:r>
        <w:t>'art.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w:t>
      </w:r>
      <w:r>
        <w:t>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B70DFA">
      <w:pPr>
        <w:pStyle w:val="Corpotesto"/>
        <w:spacing w:before="90"/>
        <w:ind w:right="92"/>
        <w:jc w:val="left"/>
      </w:pPr>
      <w:r>
        <w:lastRenderedPageBreak/>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w:t>
      </w:r>
      <w:r>
        <w:t>verso). Analogamente sono riconosciuti utili gli anni di servizio come ricercatore</w:t>
      </w:r>
      <w:r>
        <w:rPr>
          <w:spacing w:val="40"/>
        </w:rPr>
        <w:t xml:space="preserve"> </w:t>
      </w:r>
      <w:r>
        <w:t xml:space="preserve">a tempo determinato del personale docente già di ruolo, ai sensi della legge 240/10 e </w:t>
      </w:r>
      <w:proofErr w:type="spellStart"/>
      <w:r>
        <w:t>s.m.i.</w:t>
      </w:r>
      <w:proofErr w:type="spellEnd"/>
      <w:r>
        <w:t xml:space="preserve"> art. 24 comma 9bis. Tale</w:t>
      </w:r>
      <w:r>
        <w:rPr>
          <w:spacing w:val="20"/>
        </w:rPr>
        <w:t xml:space="preserve"> </w:t>
      </w:r>
      <w:r>
        <w:t>riconoscimento avviene</w:t>
      </w:r>
      <w:r>
        <w:rPr>
          <w:spacing w:val="40"/>
        </w:rPr>
        <w:t xml:space="preserve"> </w:t>
      </w:r>
      <w:r>
        <w:t>tenuto conto della circostanza c</w:t>
      </w:r>
      <w:r>
        <w:t>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w:t>
      </w:r>
      <w:r>
        <w:t>o nella stessa scuola, né nel comune.</w:t>
      </w:r>
    </w:p>
    <w:p w14:paraId="33FEA3C0" w14:textId="77777777" w:rsidR="006115D7" w:rsidRDefault="00B70DFA">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B70DFA">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B70DFA">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B70DFA">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B70DFA">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B70DFA">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B70DFA">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B70DFA">
      <w:pPr>
        <w:pStyle w:val="Corpotesto"/>
        <w:ind w:right="73"/>
      </w:pPr>
      <w:r>
        <w:t xml:space="preserve">Va valutato nella misura prevista dalla presente voce il servizio prestato, a decorrere </w:t>
      </w:r>
      <w:r>
        <w:t>dall'anno scolastico 1978/79, dalle assistenti di scuola materna statale utilizzate, ai sensi dell'articolo 8 della legge n. 463/78, come insegnanti di scuola materna.</w:t>
      </w:r>
    </w:p>
    <w:p w14:paraId="4C3BEAAF" w14:textId="77777777" w:rsidR="006115D7" w:rsidRDefault="00B70DFA">
      <w:pPr>
        <w:pStyle w:val="Corpotesto"/>
        <w:ind w:right="73"/>
      </w:pPr>
      <w:r>
        <w:t>Va valutato nella misura prevista dalla presente voce anche il servizio prestato dal per</w:t>
      </w:r>
      <w:r>
        <w:t>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B70DFA">
      <w:pPr>
        <w:pStyle w:val="Corpotesto"/>
        <w:ind w:right="75"/>
      </w:pPr>
      <w:r>
        <w:t>Per ogn</w:t>
      </w:r>
      <w:r>
        <w:t>i anno di insegnamento prestato, con il possesso del prescritto titolo di specializzazione, nelle scuole speciali o ad indirizzo didattico differenziato, o nei posti di sostegno, o nelle DOS, qualora il trasferimento a domanda o d’ufficio sia richiesto ind</w:t>
      </w:r>
      <w:r>
        <w:t>ifferentemente sia per le scuole speciali, sia per quelle a indirizzo didattico differenziato, sia, infine, per posti di sostegno il punteggio è raddoppiato.</w:t>
      </w:r>
    </w:p>
    <w:p w14:paraId="7360247E" w14:textId="77777777" w:rsidR="006115D7" w:rsidRDefault="00B70DFA">
      <w:pPr>
        <w:pStyle w:val="Corpotesto"/>
        <w:ind w:right="73"/>
      </w:pPr>
      <w:r>
        <w:t>Relativamente ai docenti delle scuole primarie, per ogni anno di insegnamento nella scuola di mont</w:t>
      </w:r>
      <w:r>
        <w: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B70DFA">
      <w:pPr>
        <w:pStyle w:val="Paragrafoelenco"/>
        <w:numPr>
          <w:ilvl w:val="0"/>
          <w:numId w:val="4"/>
        </w:numPr>
        <w:tabs>
          <w:tab w:val="left" w:pos="445"/>
        </w:tabs>
        <w:ind w:left="178" w:right="73" w:firstLine="0"/>
        <w:jc w:val="both"/>
        <w:rPr>
          <w:sz w:val="18"/>
        </w:rPr>
      </w:pPr>
      <w:r>
        <w:rPr>
          <w:sz w:val="18"/>
        </w:rPr>
        <w:t xml:space="preserve">Ai fini </w:t>
      </w:r>
      <w:r>
        <w:rPr>
          <w:sz w:val="18"/>
        </w:rPr>
        <w:t>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w:t>
      </w:r>
      <w:r>
        <w:rPr>
          <w:sz w:val="18"/>
        </w:rPr>
        <w:t xml:space="preserve"> la valutazione di un intero anno scolastico.</w:t>
      </w:r>
    </w:p>
    <w:p w14:paraId="1EFDE0FB" w14:textId="77777777" w:rsidR="006115D7" w:rsidRDefault="00B70DFA">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due isole maggiori (Sicilia e Sardegna). Il punteggio aggiuntivo previsto per il servizio pres</w:t>
      </w:r>
      <w:r>
        <w:rPr>
          <w:sz w:val="18"/>
        </w:rPr>
        <w:t xml:space="preserve">tato nelle piccole isole è attribuito indipendentemente dal luogo di residenza </w:t>
      </w:r>
      <w:r>
        <w:rPr>
          <w:spacing w:val="-2"/>
          <w:sz w:val="18"/>
        </w:rPr>
        <w:t>dell’interessato.</w:t>
      </w:r>
    </w:p>
    <w:p w14:paraId="0CACB695" w14:textId="77777777" w:rsidR="006115D7" w:rsidRDefault="00B70DFA">
      <w:pPr>
        <w:pStyle w:val="Paragrafoelenco"/>
        <w:numPr>
          <w:ilvl w:val="0"/>
          <w:numId w:val="4"/>
        </w:numPr>
        <w:tabs>
          <w:tab w:val="left" w:pos="452"/>
        </w:tabs>
        <w:ind w:left="178" w:right="75" w:firstLine="0"/>
        <w:jc w:val="both"/>
        <w:rPr>
          <w:sz w:val="18"/>
        </w:rPr>
      </w:pPr>
      <w:r>
        <w:rPr>
          <w:sz w:val="18"/>
        </w:rPr>
        <w:t xml:space="preserve">L'anzianità derivante da decorrenza giuridica della nomina anteriore alla decorrenza economica, se non è stato prestato alcun servizio, è valutata 3 punti per </w:t>
      </w:r>
      <w:r>
        <w:rPr>
          <w:sz w:val="18"/>
        </w:rPr>
        <w:t>ogni anno per tutti gli anni sia nella mobilità d’ufficio che in quella a domanda.</w:t>
      </w:r>
    </w:p>
    <w:p w14:paraId="58E52AD9" w14:textId="77777777" w:rsidR="006115D7" w:rsidRDefault="00B70DFA">
      <w:pPr>
        <w:pStyle w:val="Corpotesto"/>
        <w:ind w:right="75"/>
      </w:pPr>
      <w:r>
        <w:t>L'anzianità derivante da decorrenza giuridica della nomina anteriore alla decorrenza economica, se il servizio non è stato prestato nel ruolo di appartenenza, è valutata 6 p</w:t>
      </w:r>
      <w:r>
        <w:t xml:space="preserve">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14:paraId="6AA9B3ED" w14:textId="77777777" w:rsidR="006115D7" w:rsidRDefault="00B70DFA">
      <w:pPr>
        <w:pStyle w:val="Corpotesto"/>
        <w:ind w:right="73"/>
      </w:pPr>
      <w:r>
        <w:t xml:space="preserve">punti per ogni anno per tutti gli anni. Il servizio </w:t>
      </w:r>
      <w:proofErr w:type="spellStart"/>
      <w:r>
        <w:t>pre</w:t>
      </w:r>
      <w:proofErr w:type="spellEnd"/>
      <w:r>
        <w:t>-r</w:t>
      </w:r>
      <w:r>
        <w:t>uolo ai fini della compilazione delle graduatorie interne per l’individuazione del perdente posto viene valutato:</w:t>
      </w:r>
    </w:p>
    <w:p w14:paraId="0B6876EC" w14:textId="77777777" w:rsidR="006115D7" w:rsidRDefault="00B70DFA">
      <w:pPr>
        <w:pStyle w:val="Corpotesto"/>
        <w:spacing w:before="1"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B70DFA">
      <w:pPr>
        <w:pStyle w:val="Corpotesto"/>
        <w:spacing w:line="206"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B70DFA">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B70DFA">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 xml:space="preserve">servizio </w:t>
      </w:r>
      <w:proofErr w:type="spellStart"/>
      <w:r>
        <w:t>pre</w:t>
      </w:r>
      <w:proofErr w:type="spellEnd"/>
      <w:r>
        <w:t>-ruolo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B70DFA">
      <w:pPr>
        <w:pStyle w:val="Corpotesto"/>
        <w:spacing w:before="1"/>
        <w:ind w:right="73"/>
      </w:pPr>
      <w:r>
        <w:t xml:space="preserve">Nella mobilità d’ufficio in merito alla valutazione di un precedente servizio di ruolo e di </w:t>
      </w:r>
      <w:proofErr w:type="spellStart"/>
      <w:r>
        <w:t>pre</w:t>
      </w:r>
      <w:proofErr w:type="spellEnd"/>
      <w:r>
        <w:t>-ruolo, prestato in un ruolo diverso, si precisa</w:t>
      </w:r>
      <w:r>
        <w:t xml:space="preserve"> che gli anni di servizio di ruolo e di </w:t>
      </w:r>
      <w:proofErr w:type="spellStart"/>
      <w:r>
        <w:t>pre</w:t>
      </w:r>
      <w:proofErr w:type="spellEnd"/>
      <w:r>
        <w:t>-ruolo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w:t>
      </w:r>
      <w:r>
        <w:t>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w:t>
      </w:r>
      <w:proofErr w:type="spellStart"/>
      <w:r>
        <w:t>pre</w:t>
      </w:r>
      <w:proofErr w:type="spellEnd"/>
      <w:r>
        <w:t>-ruolo prestato nella scuola secondaria di primo grado si valutano 3 punti per ogni anno per tutti gli anni, sempre ai sensi della presente voce, nella scuola</w:t>
      </w:r>
      <w:r>
        <w:t xml:space="preserve">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B70DFA">
      <w:pPr>
        <w:pStyle w:val="Corpotesto"/>
        <w:ind w:right="72"/>
      </w:pPr>
      <w:r>
        <w:t>Nella misura della presente voce continua a trovare applic</w:t>
      </w:r>
      <w:r>
        <w:t xml:space="preserve">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w:t>
      </w:r>
      <w:r>
        <w:t>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w:t>
      </w:r>
      <w:r>
        <w:t>/6/70 n.</w:t>
      </w:r>
      <w:r>
        <w:rPr>
          <w:spacing w:val="-3"/>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w:t>
      </w:r>
      <w:r>
        <w:t>restato, con il possesso del prescritto titolo di specializzazione, nelle scuole speciali o ad indirizzo didattico differenziato, o nei posti di sostegno, o nelle ex DOS, qualora il trasferimento a domanda o d’ufficio sia richiesto indifferentemente sia pe</w:t>
      </w:r>
      <w:r>
        <w:t>r le scuole speciali, sia per quelle a indirizzo didattico differenziato sia, infine, per posti di sostegno il punteggio è raddoppiato. Relativamente agli insegnanti di scuole primarie, per ogni anno di insegnamento in scuola di montagna ai sensi della leg</w:t>
      </w:r>
      <w:r>
        <w:t>ge 1/3/1957, n. 90, il punteggio è raddoppiato.</w:t>
      </w:r>
    </w:p>
    <w:p w14:paraId="2F2C08C1" w14:textId="77777777" w:rsidR="006115D7" w:rsidRDefault="00B70DFA">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w:t>
      </w:r>
      <w:r>
        <w:t>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w:t>
      </w:r>
      <w:r>
        <w:t>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B70DFA">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w:t>
      </w:r>
      <w:r>
        <w:rPr>
          <w:sz w:val="18"/>
        </w:rPr>
        <w:t>ella scuola di servizio</w:t>
      </w:r>
      <w:r>
        <w:rPr>
          <w:spacing w:val="40"/>
          <w:sz w:val="18"/>
        </w:rPr>
        <w:t xml:space="preserve"> </w:t>
      </w:r>
      <w:r>
        <w:rPr>
          <w:sz w:val="18"/>
        </w:rPr>
        <w:t>per il personale ex titolare</w:t>
      </w:r>
      <w:r>
        <w:rPr>
          <w:spacing w:val="-1"/>
          <w:sz w:val="18"/>
        </w:rPr>
        <w:t xml:space="preserve"> </w:t>
      </w:r>
      <w:r>
        <w:rPr>
          <w:sz w:val="18"/>
        </w:rPr>
        <w:t xml:space="preserve">di Dotazione Organica di Sostegno (DOS) nella scuola secondaria di II grado (lettera C), della tabella di valutazione dei trasferimenti) deve essere attestata dall'interessato con apposita dichiarazione </w:t>
      </w:r>
      <w:r>
        <w:rPr>
          <w:sz w:val="18"/>
        </w:rPr>
        <w:t>personale. Il primo anno del triennio per l’attribuzione del punteggio per la continuità al personale ex DOS decorre a partire dall’anno scolastico 2003/2004. Il primo anno del triennio per l’attribuzione del punteggio per la continuità ai docenti di relig</w:t>
      </w:r>
      <w:r>
        <w:rPr>
          <w:sz w:val="18"/>
        </w:rPr>
        <w:t xml:space="preserve">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 la scuola primaria, e </w:t>
      </w:r>
      <w:proofErr w:type="spellStart"/>
      <w:r>
        <w:rPr>
          <w:sz w:val="18"/>
        </w:rPr>
        <w:t>nell’a.s.</w:t>
      </w:r>
      <w:proofErr w:type="spellEnd"/>
      <w:r>
        <w:rPr>
          <w:sz w:val="18"/>
        </w:rPr>
        <w:t xml:space="preserve">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z w:val="18"/>
        </w:rPr>
        <w:t>,</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w:t>
      </w:r>
      <w:r>
        <w:rPr>
          <w:sz w:val="18"/>
        </w:rPr>
        <w:t>zione dell’organico unico dell’autonomia, con l’automatica attribuzione della titolarità su codice unico in tutte le situazioni in cui era distinto. Il trasferimento ottenuto precedentemente all’introduzione dell’organico tra plessi dello stesso circolo in</w:t>
      </w:r>
      <w:r>
        <w:rPr>
          <w:sz w:val="18"/>
        </w:rPr>
        <w:t>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B70DFA">
      <w:pPr>
        <w:pStyle w:val="Corpotesto"/>
        <w:spacing w:before="90"/>
        <w:ind w:right="70"/>
      </w:pPr>
      <w:r>
        <w:lastRenderedPageBreak/>
        <w:t>scuola primaria, il trasferimento tra i posti dell’organico (comune e lingua) nello stesso circolo non interrompe la continuità di servizio. Si precisa che, per l'attribuzione del punteggio previ</w:t>
      </w:r>
      <w:r>
        <w:t>sto dalla presente voce, devono concorrere, per gli anni considerati, la titolarità nel tipo di posto (comune ovvero sostegno a prescindere dalla tipologia di disabilità) o - per le scuole ed istituti di istruzione secondaria di I e II grado - nella classe</w:t>
      </w:r>
      <w:r>
        <w:t xml:space="preserve"> di concorso di attuale appartenenza (con esclusione sia del periodo di servizio </w:t>
      </w:r>
      <w:proofErr w:type="spellStart"/>
      <w:r>
        <w:t>pre</w:t>
      </w:r>
      <w:proofErr w:type="spellEnd"/>
      <w:r>
        <w:t>-ruolo sia del periodo coperto da decorrenza giuridica retroattiva della nomina) e la prestazione del servizio presso la scuola di titolarità. Per i docenti titolari di pos</w:t>
      </w:r>
      <w:r>
        <w:t>ti per l'istruzione e la formazione dell’età adulta attivati presso i centri provinciali per l’istruzione degli adulti ai sensi di quanto</w:t>
      </w:r>
      <w:r>
        <w:rPr>
          <w:spacing w:val="16"/>
        </w:rPr>
        <w:t xml:space="preserve"> </w:t>
      </w:r>
      <w:r>
        <w:t>disposto dal D.P.R. n. 263/2012 ai fini dell'assegnazione del punteggio per la continuità del servizio, va fatto rifer</w:t>
      </w:r>
      <w:r>
        <w:t xml:space="preserve">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w:t>
      </w:r>
      <w:r>
        <w:t>e, analogamente, per i docenti titolari in corsi serali la continuità didattica è riferita esclusivamente al servizio prestato sullo stesso tipo organico di titolarità (o diurno o serale). Da tale ultimo requisito si prescinde limitatamente al solo persona</w:t>
      </w:r>
      <w:r>
        <w:t>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 xml:space="preserve">contratto. Il punteggio in questione va attribuito anche in tutti i casi in cui il periodo di mancata prestazione </w:t>
      </w:r>
      <w:r>
        <w:t>del servizio nella scuola di titolarità è riconosciuto a tutti gli effetti dalle norme vigenti come servizio validamente prestato nella medesima scuola. Conseguentemente, il punteggio per la continuità del servizio deve essere attribuito nel caso di assenz</w:t>
      </w:r>
      <w:r>
        <w:t>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w:t>
      </w:r>
      <w:r>
        <w:t>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w:t>
      </w:r>
      <w:r>
        <w:t xml:space="preserve"> presidenza di scuole secondarie, di esonero dall'insegnamento dei collaboratori dei dirigenti scolastici, di esoneri per la partecipazione a commissioni di concorso, di collocamento fuori ruolo ai sensi della legge 23 dicembre 1998, n. 448, art. 26, comma</w:t>
      </w:r>
      <w:r>
        <w:t xml:space="preserve">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w:t>
      </w:r>
      <w:r>
        <w:t>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B70DFA">
      <w:pPr>
        <w:pStyle w:val="Corpotesto"/>
        <w:spacing w:before="2"/>
        <w:ind w:right="71"/>
      </w:pPr>
      <w:r>
        <w:t>Non interrompe la matur</w:t>
      </w:r>
      <w:r>
        <w:t xml:space="preserve">azione del punteggio della continuità neanche la fruizione del congedo biennale per l’assistenza a familiari con grave disabilità di cui all’art. 42 comma 5 del decreto legislativo n. 151/01. Si precisa, inoltre, che nel caso di dimensionamento della rete </w:t>
      </w:r>
      <w:r>
        <w:t>scolastica (sdoppiamento, aggregazione, soppressione, fusione di scuole) la titolarità ed il servizio relativi alla scuola di nuova istituzione o aggregante si devono ricongiungere alla titolarità ed al servizio relativi alla scuola sdoppiata, aggregata, s</w:t>
      </w:r>
      <w:r>
        <w:t>oppressa o fusa al fine dell’attribuzione del punteggio in questione. Non interrompe la continuità del servizio l'utilizzazione in altra scuola del docente in soprannumero nella scuola di titolarità né il trasferimento del docente in quanto soprannumerario</w:t>
      </w:r>
      <w:r>
        <w:t xml:space="preserve">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w:t>
      </w:r>
      <w:r>
        <w:t>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 xml:space="preserve">di altro </w:t>
      </w:r>
      <w:r>
        <w:t>comune della provincia. Si precisa che il punteggio in questione viene riconosciuto anche per la formulazione della graduatoria interna di istituto ai fini dell’individuazione del soprannumerario da trasferire d’ufficio. La continuità didattica, legata all</w:t>
      </w:r>
      <w:r>
        <w:t>a scuola di ex-titolarità, del personale scolastico trasferito d’ufficio nell’ultimo decennio va considerata ai fini della sola domanda di trasferimento e non anche della domanda di passaggio. Nei riguardi del personale docente ed educativo soprannumerario</w:t>
      </w:r>
      <w:r>
        <w:t xml:space="preserve">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w:t>
      </w:r>
      <w:r>
        <w:t>nio il trasferimento per altre preferenze espresse nella domanda non interrompe la continuità del servizio. Qualora, scaduto il decennio in questione, il docente non abbia ottenuto il rientro nella scuola di precedente titolarità i punteggi relativi alla c</w:t>
      </w:r>
      <w:r>
        <w:t>ontinuità didattica nel decennio dovranno essere riferiti esclusivamente alla scuola ove è stato trasferito in quanto soprannumerario. Il punteggio in questione spetta anche ai docenti comandati in istituti diversi da quello di titolarità su cattedre ove s</w:t>
      </w:r>
      <w:r>
        <w:t>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w:t>
      </w:r>
      <w:r>
        <w:t>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 xml:space="preserve">del decreto-legge 6.8.1988, n. 323 </w:t>
      </w:r>
      <w:r>
        <w:t>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w:t>
      </w:r>
      <w:r>
        <w:t>olo o classe di concorso diversi da quelli di titolarità. In ogni caso non deve essere considerata interruzione della continuità del servizio nella scuola</w:t>
      </w:r>
      <w:r>
        <w:rPr>
          <w:spacing w:val="40"/>
        </w:rPr>
        <w:t xml:space="preserve"> </w:t>
      </w:r>
      <w:r>
        <w:t xml:space="preserve">di titolarità la mancata prestazione del servizio per un periodo di durata complessiva inferiore a 6 </w:t>
      </w:r>
      <w:r>
        <w:t>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w:t>
      </w:r>
      <w:r>
        <w:t>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w:t>
      </w:r>
      <w:r>
        <w:t>tre continua a permanere il diritto di rientro. Il punteggio va attribuito se la scuola di titolarità giuridica e la scuola in cui l'interessato ha prestato servizio continuativo coincidono per il periodo considerato. Il punteggio va anche attribuito nel c</w:t>
      </w:r>
      <w:r>
        <w:t>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w:t>
      </w:r>
      <w:r>
        <w:t xml:space="preserv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w:t>
      </w:r>
      <w:r>
        <w:t>lla domanda.</w:t>
      </w:r>
    </w:p>
    <w:p w14:paraId="31DCA46F" w14:textId="77777777" w:rsidR="006115D7" w:rsidRDefault="00B70DFA">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w:t>
      </w:r>
      <w:r>
        <w:t xml:space="preserve"> attuale titolarità viene così valutata:</w:t>
      </w:r>
    </w:p>
    <w:p w14:paraId="789CFF4D" w14:textId="77777777" w:rsidR="006115D7" w:rsidRDefault="00B70DFA">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w:t>
      </w:r>
      <w:proofErr w:type="gramStart"/>
      <w:r>
        <w:rPr>
          <w:sz w:val="18"/>
        </w:rPr>
        <w:t>),B</w:t>
      </w:r>
      <w:proofErr w:type="gramEnd"/>
      <w:r>
        <w:rPr>
          <w:sz w:val="18"/>
        </w:rPr>
        <w:t>), B1), B2)</w:t>
      </w:r>
    </w:p>
    <w:p w14:paraId="39FB2A07" w14:textId="77777777" w:rsidR="006115D7" w:rsidRDefault="00B70DFA">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B70DFA">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B70DFA">
      <w:pPr>
        <w:pStyle w:val="Corpotesto"/>
        <w:ind w:right="73"/>
      </w:pPr>
      <w:r>
        <w:t xml:space="preserve">Sempre ai fini della formazione della graduatoria per l’individuazione del soprannumerario ed ai fini del </w:t>
      </w:r>
      <w:r>
        <w:t>trasferimento d’ufficio, viene valutata anche la continuità di servizio nel comune di attuale titolarità, nella seguente misura:</w:t>
      </w:r>
    </w:p>
    <w:p w14:paraId="669A4624" w14:textId="77777777" w:rsidR="006115D7" w:rsidRDefault="00B70DFA">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w:t>
      </w:r>
      <w:r>
        <w:t>tinuità in</w:t>
      </w:r>
      <w:r>
        <w:rPr>
          <w:spacing w:val="-1"/>
        </w:rPr>
        <w:t xml:space="preserve"> </w:t>
      </w:r>
      <w:r>
        <w:t>aggiunta a quello previsto dalle lettere A), A1), B), B1), B2) ……</w:t>
      </w:r>
      <w:proofErr w:type="gramStart"/>
      <w:r>
        <w:t>…….</w:t>
      </w:r>
      <w:proofErr w:type="gramEnd"/>
      <w:r>
        <w:t>.</w:t>
      </w:r>
      <w:r>
        <w:tab/>
        <w:t>Punti 1</w:t>
      </w:r>
    </w:p>
    <w:p w14:paraId="4781B11D" w14:textId="77777777" w:rsidR="006115D7" w:rsidRDefault="00B70DFA">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w:t>
      </w:r>
      <w:r>
        <w:t>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w:t>
      </w:r>
      <w:r>
        <w:t>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B70DFA">
      <w:pPr>
        <w:pStyle w:val="Corpotesto"/>
        <w:spacing w:before="90"/>
        <w:ind w:right="73"/>
      </w:pPr>
      <w:r>
        <w:lastRenderedPageBreak/>
        <w:t>continuità del servizio. Per i docenti il servizio deve essere stato prestato nella stessa tipologia di posto (comune o sostegno) e per la scuola di istruzione secondaria di primo e secondo grado, il servizi</w:t>
      </w:r>
      <w:r>
        <w:t>o deve essere altresì prestato nella stessa classe di concorso di attuale titolarità. Il trasferimento dal sostegno a posto comune o viceversa interrompe la continuità di servizio nella scuola e nel comune. Il punteggio non va attribuito ai docenti che sia</w:t>
      </w:r>
      <w:r>
        <w:t>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w:t>
      </w:r>
      <w:r>
        <w:t>teggio</w:t>
      </w:r>
      <w:r>
        <w:rPr>
          <w:spacing w:val="40"/>
        </w:rPr>
        <w:t xml:space="preserve"> </w:t>
      </w:r>
      <w:r>
        <w:t xml:space="preserve">di cui alla </w:t>
      </w:r>
      <w:proofErr w:type="spellStart"/>
      <w:r>
        <w:t>lett</w:t>
      </w:r>
      <w:proofErr w:type="spellEnd"/>
      <w:r>
        <w:t>. C 0) anche per tutti i 10 anni del decennio.</w:t>
      </w:r>
    </w:p>
    <w:p w14:paraId="4D2FBF8B" w14:textId="77777777" w:rsidR="006115D7" w:rsidRDefault="00B70DFA">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w:t>
      </w:r>
      <w:r>
        <w:t>sto dalla lettera C).</w:t>
      </w:r>
    </w:p>
    <w:p w14:paraId="3BD42438" w14:textId="77777777" w:rsidR="006115D7" w:rsidRDefault="00B70DFA">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w:t>
      </w:r>
      <w:r>
        <w:t xml:space="preserve">dizioni previste nelle Tabelle di cui sopra. Ai fini della maturazione una tantum del punteggio è utile un triennio compreso nel periodo intercorrente tra le domande di mobilità per l’anno scolastico 2000-2001 e quelle per l’anno scolastico 2007-2008. Con </w:t>
      </w:r>
      <w:r>
        <w:t xml:space="preserve">le domande di mobilità per l’anno scolastico 2007/2008 si è, infatti, concluso il periodo utile per l’acquisizione del punteggio aggiuntivo a seguito della maturazione del triennio. Le condizioni previste alla </w:t>
      </w:r>
      <w:proofErr w:type="spellStart"/>
      <w:r>
        <w:t>lett</w:t>
      </w:r>
      <w:proofErr w:type="spellEnd"/>
      <w:r>
        <w:t xml:space="preserve">. D) delle Tabelle, si sono concretizzate </w:t>
      </w:r>
      <w:r>
        <w:t>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w:t>
      </w:r>
      <w:r>
        <w:t>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B70DFA">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B70DFA">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B70DFA">
      <w:pPr>
        <w:pStyle w:val="Paragrafoelenco"/>
        <w:numPr>
          <w:ilvl w:val="0"/>
          <w:numId w:val="2"/>
        </w:numPr>
        <w:tabs>
          <w:tab w:val="left" w:pos="289"/>
        </w:tabs>
        <w:ind w:right="75" w:firstLine="0"/>
        <w:rPr>
          <w:b/>
          <w:sz w:val="18"/>
        </w:rPr>
      </w:pPr>
      <w:proofErr w:type="gramStart"/>
      <w:r>
        <w:rPr>
          <w:sz w:val="18"/>
        </w:rPr>
        <w:t>domanda</w:t>
      </w:r>
      <w:proofErr w:type="gramEnd"/>
      <w:r>
        <w:rPr>
          <w:sz w:val="18"/>
        </w:rPr>
        <w:t xml:space="preserve"> di rientro nella scuola di precedente titolarità, nel decennio di fruizione del diritto alla precedenza di cui ai punti II e V dell’art. 13, comma 1 del C.C.N.I..</w:t>
      </w:r>
    </w:p>
    <w:p w14:paraId="378410E6" w14:textId="77777777" w:rsidR="006115D7" w:rsidRDefault="00B70DFA">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w:t>
      </w:r>
      <w:r>
        <w:t>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w:t>
      </w:r>
      <w:r>
        <w:t>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w:t>
      </w:r>
      <w:r>
        <w:t>mune di precedente titolarità, il trasferimento per altre preferenze espresse nella domanda o l’assegnazione provvisoria. Analogamente non perde il riconoscimento del punteggio aggiuntivo il docente trasferito d’ufficio o a domanda condizionata che nel per</w:t>
      </w:r>
      <w:r>
        <w:t>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B70DFA">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B70DFA">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w:t>
      </w:r>
      <w:r>
        <w:rPr>
          <w:sz w:val="18"/>
        </w:rPr>
        <w:t>anagrafica da almeno tre mesi. La residenza del familiare a cui si chiede il ricongiungimento deve essere documentata con dichiarazione personale redatta ai sensi delle disposizioni contenute nel D.P.R. 28.12.2000, n. 445 e successive modifiche ed integraz</w:t>
      </w:r>
      <w:r>
        <w:rPr>
          <w:sz w:val="18"/>
        </w:rPr>
        <w:t>ioni nei quali dovrà essere indicata la decorrenza dell'iscrizione stessa; dall'iscrizione anagrafica si prescinde quando si tratti di ricongiungimento al familiare trasferito per servizio nei tre mesi antecedenti alla data di pubblicazione dell'ordinanza.</w:t>
      </w:r>
      <w:r>
        <w:rPr>
          <w:sz w:val="18"/>
        </w:rPr>
        <w:t xml:space="preserve"> Il punteggio di ricongiungimento e quello per la cura e l’assistenza dei familiari spetta per le scuole del comune. Il punteggio spetta anche nel caso in cui nel comune ove si registra l’esigenza familiare non vi siano istituzioni scolastiche richiedibili</w:t>
      </w:r>
      <w:r>
        <w:rPr>
          <w:sz w:val="18"/>
        </w:rPr>
        <w:t xml:space="preserve"> (cioè che non comprendano l'insegnamento del richiedente o sedi di organico) ovvero per il personale educativo, istituzioni educative richiedibili: in tal caso il punteggio sarà attribuito per tutte le scuole ovvero istituzioni educative del comune più vi</w:t>
      </w:r>
      <w:r>
        <w:rPr>
          <w:sz w:val="18"/>
        </w:rPr>
        <w:t xml:space="preserve">cino, secondo le tabelle di </w:t>
      </w:r>
      <w:proofErr w:type="spellStart"/>
      <w:r>
        <w:rPr>
          <w:sz w:val="18"/>
        </w:rPr>
        <w:t>viciniorietà</w:t>
      </w:r>
      <w:proofErr w:type="spellEnd"/>
      <w:r>
        <w:rPr>
          <w:sz w:val="18"/>
        </w:rPr>
        <w:t>, oppure per il comune sede dell’istituzione scolastica che abbia un plesso nel comune di residenza del familiare, ovvero nel comune per il quale</w:t>
      </w:r>
      <w:r>
        <w:rPr>
          <w:spacing w:val="14"/>
          <w:sz w:val="18"/>
        </w:rPr>
        <w:t xml:space="preserve"> </w:t>
      </w:r>
      <w:r>
        <w:rPr>
          <w:sz w:val="18"/>
        </w:rPr>
        <w:t>sussistono le condizioni di cui alla lettera</w:t>
      </w:r>
      <w:r>
        <w:rPr>
          <w:spacing w:val="40"/>
          <w:sz w:val="18"/>
        </w:rPr>
        <w:t xml:space="preserve"> </w:t>
      </w:r>
      <w:r>
        <w:rPr>
          <w:sz w:val="18"/>
        </w:rPr>
        <w:t>D della Tabella a – Parte</w:t>
      </w:r>
      <w:r>
        <w:rPr>
          <w:sz w:val="18"/>
        </w:rPr>
        <w:t xml:space="preserve"> II,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B70DFA">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B70DFA">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 xml:space="preserve">caso come esigenze di non allontanamento dalla scuola e dal comune di attuale titolarità sono valutate nella seguente </w:t>
      </w:r>
      <w:r>
        <w:rPr>
          <w:sz w:val="18"/>
        </w:rPr>
        <w:t>maniera:</w:t>
      </w:r>
    </w:p>
    <w:p w14:paraId="0085237A" w14:textId="77777777" w:rsidR="006115D7" w:rsidRDefault="00B70DFA">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B70DFA">
      <w:pPr>
        <w:pStyle w:val="Corpotesto"/>
        <w:spacing w:before="2"/>
        <w:ind w:right="72"/>
      </w:pPr>
      <w:r>
        <w:t>Tale punteggio spetta anche nel caso in cui nel comune di ricongiungimento non vi siano istituzioni scolastiche richiedibili</w:t>
      </w:r>
      <w:r>
        <w:t xml:space="preserve"> (cioè, che non comprendano l'insegnamento del richiedente) e lo stesso risulti viciniore alla sede di titolarità. Qualora il comune di residenza del familiare, ovvero il comune per il quale sussistono le condizioni di cui alla lettera D) della Tabella a –</w:t>
      </w:r>
      <w:r>
        <w:t xml:space="preserve"> Parte II, non sia sede di organico il punteggio va attribuito per il comune sede dell’istituzione scolastica che abbia un plesso nel comune di residenza del familiare, ovvero nel comune per il quale sussistono le condizioni di cui alla lettera D) della Ta</w:t>
      </w:r>
      <w:r>
        <w:t>bella a – Parte II.</w:t>
      </w:r>
    </w:p>
    <w:p w14:paraId="5D3C62BB" w14:textId="77777777" w:rsidR="006115D7" w:rsidRDefault="00B70DFA">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B70DFA">
      <w:pPr>
        <w:pStyle w:val="Corpotesto"/>
        <w:ind w:right="74"/>
      </w:pPr>
      <w:r>
        <w:t xml:space="preserve">lettera D) (cura e assistenza dei figli disabili, etc..) vale quando il comune in cui può essere prestata l’assistenza coincide con il comune di titolarità del docente oppure è ad esso viciniore, qualora </w:t>
      </w:r>
      <w:r>
        <w:t>nel comune medesimo non vi siano sedi scolastiche richiedibili.</w:t>
      </w:r>
    </w:p>
    <w:p w14:paraId="74D894EB" w14:textId="77777777" w:rsidR="006115D7" w:rsidRDefault="00B70DFA">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B70DFA">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 xml:space="preserve">sei anni o i </w:t>
      </w:r>
      <w:r>
        <w:rPr>
          <w:sz w:val="18"/>
        </w:rPr>
        <w:t>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B70DFA">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B70DFA">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w:t>
      </w:r>
      <w:r>
        <w:rPr>
          <w:spacing w:val="-2"/>
          <w:sz w:val="18"/>
        </w:rPr>
        <w:t>ra;</w:t>
      </w:r>
    </w:p>
    <w:p w14:paraId="6B06F2B7" w14:textId="77777777" w:rsidR="006115D7" w:rsidRDefault="00B70DFA">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B70DFA">
      <w:pPr>
        <w:pStyle w:val="Paragrafoelenco"/>
        <w:numPr>
          <w:ilvl w:val="1"/>
          <w:numId w:val="4"/>
        </w:numPr>
        <w:tabs>
          <w:tab w:val="left" w:pos="363"/>
        </w:tabs>
        <w:ind w:left="178" w:right="75" w:firstLine="0"/>
        <w:jc w:val="both"/>
        <w:rPr>
          <w:sz w:val="18"/>
        </w:rPr>
      </w:pPr>
      <w:r>
        <w:rPr>
          <w:sz w:val="18"/>
        </w:rPr>
        <w:t>figlio tossicodipendente sottoposto ad un p</w:t>
      </w:r>
      <w:r>
        <w:rPr>
          <w:sz w:val="18"/>
        </w:rPr>
        <w:t>rogramma terapeutico e socio-riabilitativo da attuare presso le strutture pubbliche o private, di cui agli artt. 114, 118 e 122, D.P.R. 9/10/1990, n. 309, programma che comporti di necessità il domicilio nella sede della struttura stessa, ovvero, presso la</w:t>
      </w:r>
      <w:r>
        <w:rPr>
          <w:sz w:val="18"/>
        </w:rPr>
        <w:t xml:space="preserve"> residenza abituale con l'assistenza del medico di fiducia come previsto dall'art. 122, comma 3, citato D.P.R. n. 309/1990.</w:t>
      </w:r>
    </w:p>
    <w:p w14:paraId="2D1F4A3A" w14:textId="77777777" w:rsidR="006115D7" w:rsidRDefault="00B70DFA">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 xml:space="preserve">di merito </w:t>
      </w:r>
      <w:r>
        <w:rPr>
          <w:sz w:val="18"/>
        </w:rPr>
        <w:t>l'inclusione in terne di concorsi a cattedre negli istituti di istruzione artistica. Si precisa che i concorsi ordinari a posti della scuola dell’infanzia non sono valutabili nell’ambito della scuola primaria, così come, i concorsi ordinari a posti della s</w:t>
      </w:r>
      <w:r>
        <w:rPr>
          <w:sz w:val="18"/>
        </w:rPr>
        <w:t>cuola secondaria di I grado non sono valutabili nell’ambito degli istituti della secondaria di II grado ed artistica; analogamente i concorsi ordinari a posti di insegnante diplomato nella scuola secondaria di II grado sono valutabili esclusivamente nell’a</w:t>
      </w:r>
      <w:r>
        <w:rPr>
          <w:sz w:val="18"/>
        </w:rPr>
        <w:t>mbito del ruolo dei docenti diplomati. I concorsi ordinari a posti di personale educativo sono da considerare di livello pari ai concorsi della scuola primaria. I concorsi a posti di personale ispettivo e dirigente scolastico sono da considerare di livello</w:t>
      </w:r>
      <w:r>
        <w:rPr>
          <w:sz w:val="18"/>
        </w:rPr>
        <w:t xml:space="preserve"> superiore rispetto ai concorsi a posti di insegnamento. Sono ovviamente esclusi i concorsi riservati per il conseguimento dell’abilitazione o dell’idoneità all’insegnamento e la partecipazione a concorsi ordinari ai soli fini del conseguimento dell’abilit</w:t>
      </w:r>
      <w:r>
        <w:rPr>
          <w:sz w:val="18"/>
        </w:rPr>
        <w: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w:t>
      </w:r>
      <w:r>
        <w:rPr>
          <w:sz w:val="18"/>
        </w:rPr>
        <w:t>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B70DFA">
      <w:pPr>
        <w:pStyle w:val="Corpotesto"/>
        <w:spacing w:before="90"/>
        <w:ind w:right="79"/>
      </w:pPr>
      <w:r>
        <w:lastRenderedPageBreak/>
        <w:t xml:space="preserve">decreto ministeriale 5 maggio 1973, sono esclusi coloro che hanno conseguito la sola abilitazione riportando un punteggio inferiore a 52,50/75 nei concorsi ordinari per l’accesso a posti e cattedre nella scuola banditi </w:t>
      </w:r>
      <w:r>
        <w:t>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w:t>
      </w:r>
      <w:r>
        <w:t>ne della legge 124/1999 e successive modifiche.</w:t>
      </w:r>
    </w:p>
    <w:p w14:paraId="765EF579" w14:textId="77777777" w:rsidR="006115D7" w:rsidRDefault="00B70DFA">
      <w:pPr>
        <w:pStyle w:val="Paragrafoelenco"/>
        <w:numPr>
          <w:ilvl w:val="0"/>
          <w:numId w:val="4"/>
        </w:numPr>
        <w:tabs>
          <w:tab w:val="left" w:pos="536"/>
        </w:tabs>
        <w:ind w:left="178" w:right="75" w:firstLine="0"/>
        <w:jc w:val="both"/>
        <w:rPr>
          <w:sz w:val="18"/>
        </w:rPr>
      </w:pPr>
      <w:r>
        <w:rPr>
          <w:sz w:val="18"/>
        </w:rPr>
        <w:t xml:space="preserve">Il punteggio va attribuito al personale in possesso di laurea. Vanno riconosciuti oltre ai corsi previsti dagli statuti delle università (art. 6 legge n. 341/90), ovvero attivati con provvedimento rettorale </w:t>
      </w:r>
      <w:r>
        <w:rPr>
          <w:sz w:val="18"/>
        </w:rPr>
        <w:t>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w:t>
      </w:r>
      <w:r>
        <w:rPr>
          <w:sz w:val="18"/>
        </w:rPr>
        <w:t>ti dalle università avvalendosi della collaborazione di soggetti pubblici e privati con facoltà di prevedere la costituzione di apposite convenzioni (art. 8 legge n. 341/90) nonché i corsi previsti dal decreto 3.11.1999, n. 509 e successive modifiche ed in</w:t>
      </w:r>
      <w:r>
        <w:rPr>
          <w:sz w:val="18"/>
        </w:rPr>
        <w:t>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w:t>
      </w:r>
      <w:r>
        <w:rPr>
          <w:sz w:val="18"/>
        </w:rPr>
        <w:t>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B70DFA">
      <w:pPr>
        <w:pStyle w:val="Corpotesto"/>
        <w:ind w:right="74"/>
      </w:pPr>
      <w:r>
        <w:t>(11 bis) Si ricorda che a norma dell'art. 10 del decreto-legge 1/10/73, n. 580, convertito con modificazioni nella legge n. 30/11/73, n.</w:t>
      </w:r>
      <w:r>
        <w:t xml:space="preserve"> 766 le denominazioni di università, ateneo, politecnico, istituto di istruzione universitaria possono essere usate soltanto dalle università statali e da quelle non statali riconosciute per rilasciare titoli aventi valore legale a norma delle disposizioni</w:t>
      </w:r>
      <w:r>
        <w:t xml:space="preserve"> di legge. Si precisa che non rientra fra quelli valutabili il titolo di Specializzazione per l’insegnamento ad alunni in situazione di disabilità di cui al D.P.R. 970/75, rilasciato anche con l’eventuale riferimento alla Legge 341/90 – artt. 4, 6 e 8. Ana</w:t>
      </w:r>
      <w:r>
        <w:t>logamente non si valutano i titoli rilasciati dalle Scuole di Specializzazione per l’insegnamento nella scuola secondaria (SSIS). Detti titoli non possono essere, infatti, considerati titoli generali aggiuntivi in quanto validi sia per l’accesso ai ruoli s</w:t>
      </w:r>
      <w:r>
        <w:t>ia per il passaggio.</w:t>
      </w:r>
    </w:p>
    <w:p w14:paraId="68934806" w14:textId="77777777" w:rsidR="006115D7" w:rsidRDefault="00B70DFA">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w:t>
      </w:r>
      <w:r>
        <w:rPr>
          <w:sz w:val="18"/>
        </w:rPr>
        <w:t>teggio rispetto al diploma di Istituto Superiore di Educazione Fisica (ISEF). La laurea triennale o di I livello che consente l’accesso alla laurea specialistica o magistrale non dà diritto ad avvalersi di ulteriore punteggio rispetto a queste ultime. Anal</w:t>
      </w:r>
      <w:r>
        <w:rPr>
          <w:sz w:val="18"/>
        </w:rPr>
        <w:t>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w:t>
      </w:r>
      <w:r>
        <w:rPr>
          <w:sz w:val="18"/>
        </w:rPr>
        <w:t>chiesto per l’accesso al ruolo di appartenenza. Pertanto alla laurea in scienze della formazione primaria con indirizzo infanzia, titolo non utile ai fini dell’accesso al ruolo della scuola primaria, deve essere attribuito il punteggio di n. 5 punti in qua</w:t>
      </w:r>
      <w:r>
        <w:rPr>
          <w:sz w:val="18"/>
        </w:rPr>
        <w:t>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w:t>
      </w:r>
      <w:r>
        <w:rPr>
          <w:sz w:val="18"/>
        </w:rPr>
        <w:t>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B70DFA">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B70DFA">
      <w:pPr>
        <w:pStyle w:val="Paragrafoelenco"/>
        <w:numPr>
          <w:ilvl w:val="0"/>
          <w:numId w:val="1"/>
        </w:numPr>
        <w:tabs>
          <w:tab w:val="left" w:pos="292"/>
        </w:tabs>
        <w:spacing w:before="2"/>
        <w:ind w:right="72"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w:t>
      </w:r>
      <w:proofErr w:type="spellStart"/>
      <w:r>
        <w:rPr>
          <w:sz w:val="18"/>
        </w:rPr>
        <w:t>legis</w:t>
      </w:r>
      <w:proofErr w:type="spellEnd"/>
      <w:r>
        <w:rPr>
          <w:sz w:val="18"/>
        </w:rPr>
        <w:t xml:space="preserve"> ai fini dell’accesso a tale classe di concorso (art. 1</w:t>
      </w:r>
      <w:r>
        <w:rPr>
          <w:sz w:val="18"/>
        </w:rPr>
        <w:t>,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B70DFA">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 xml:space="preserve">punteggio </w:t>
      </w:r>
      <w:r>
        <w:rPr>
          <w:sz w:val="18"/>
        </w:rPr>
        <w:t>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B70DFA">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B70DFA">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w:t>
      </w:r>
      <w:r>
        <w:rPr>
          <w:sz w:val="18"/>
        </w:rPr>
        <w:t>.P.R. 175/2012 e specificati dal decreto ministeriale 70 del 25.7.2020.</w:t>
      </w:r>
    </w:p>
    <w:p w14:paraId="3FDBFAD0" w14:textId="77777777" w:rsidR="006115D7" w:rsidRDefault="00B70DFA">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B70DFA">
      <w:pPr>
        <w:pStyle w:val="Paragrafoelenco"/>
        <w:numPr>
          <w:ilvl w:val="0"/>
          <w:numId w:val="4"/>
        </w:numPr>
        <w:tabs>
          <w:tab w:val="left" w:pos="562"/>
        </w:tabs>
        <w:ind w:left="178" w:right="74" w:firstLine="0"/>
        <w:jc w:val="both"/>
        <w:rPr>
          <w:sz w:val="18"/>
        </w:rPr>
      </w:pPr>
      <w:r>
        <w:rPr>
          <w:sz w:val="18"/>
        </w:rPr>
        <w:t xml:space="preserve">"Sono considerati validi i titoli conseguiti all'estero che hanno ottenuto dagli organi competenti il </w:t>
      </w:r>
      <w:r>
        <w:rPr>
          <w:sz w:val="18"/>
        </w:rPr>
        <w:t>riconoscimento accademico o il riconoscimento finalizzato, ai sensi della normativa vigente”.</w:t>
      </w:r>
    </w:p>
    <w:p w14:paraId="153B0F6B" w14:textId="77777777" w:rsidR="006115D7" w:rsidRDefault="00B70DFA">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B70DFA">
      <w:pPr>
        <w:pStyle w:val="Corpotesto"/>
        <w:ind w:right="73"/>
      </w:pPr>
      <w:r>
        <w:t>(18-bis) Il punteggio è attribuito una sola volta. Ai fini del calcolo de</w:t>
      </w:r>
      <w:r>
        <w:t>l triennio va considerato il servizio prestato senza soluzione di continuità nella medesima istituzione scolastica e nella medesima figura professionale.</w:t>
      </w:r>
    </w:p>
    <w:p w14:paraId="318A9C7C" w14:textId="77777777" w:rsidR="006115D7" w:rsidRDefault="00B70DFA">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w:t>
      </w:r>
      <w:r>
        <w:rPr>
          <w:sz w:val="18"/>
        </w:rPr>
        <w:t>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1271E8" w14:textId="77777777" w:rsidR="00B70DFA" w:rsidRDefault="00B70DFA">
      <w:r>
        <w:separator/>
      </w:r>
    </w:p>
  </w:endnote>
  <w:endnote w:type="continuationSeparator" w:id="0">
    <w:p w14:paraId="33C56C70" w14:textId="77777777" w:rsidR="00B70DFA" w:rsidRDefault="00B70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8B0DC" w14:textId="77777777" w:rsidR="00B70DFA" w:rsidRDefault="00B70DFA">
      <w:r>
        <w:separator/>
      </w:r>
    </w:p>
  </w:footnote>
  <w:footnote w:type="continuationSeparator" w:id="0">
    <w:p w14:paraId="676D938B" w14:textId="77777777" w:rsidR="00B70DFA" w:rsidRDefault="00B70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4A185" w14:textId="77777777" w:rsidR="006115D7" w:rsidRDefault="00B70DFA">
    <w:pPr>
      <w:pStyle w:val="Corpotesto"/>
      <w:spacing w:line="14" w:lineRule="auto"/>
      <w:ind w:left="0"/>
      <w:jc w:val="left"/>
      <w:rPr>
        <w:sz w:val="20"/>
      </w:rPr>
    </w:pPr>
    <w:r>
      <w:rPr>
        <w:noProof/>
        <w:sz w:val="20"/>
        <w:lang w:eastAsia="it-IT"/>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7777777" w:rsidR="006115D7" w:rsidRDefault="00B70DFA">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wrap="square" lIns="0" tIns="0" rIns="0" bIns="0" rtlCol="0">
                      <a:noAutofit/>
                    </wps:bodyPr>
                  </wps:wsp>
                </a:graphicData>
              </a:graphic>
            </wp:anchor>
          </w:drawing>
        </mc:Choice>
        <mc:Fallback>
          <w:pict>
            <v:shapetype w14:anchorId="12CBE4E0" id="_x0000_t202" coordsize="21600,21600" o:spt="202" path="m,l,21600r21600,l21600,xe">
              <v:stroke joinstyle="miter"/>
              <v:path gradientshapeok="t" o:connecttype="rect"/>
            </v:shapetype>
            <v:shape id="Textbox 1" o:spid="_x0000_s1030"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" filled="f" stroked="f">
              <v:path arrowok="t"/>
              <v:textbox inset="0,0,0,0">
                <w:txbxContent>
                  <w:p w14:paraId="5DDF5E8A" w14:textId="77777777" w:rsidR="006115D7" w:rsidRDefault="00B70DFA">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abstractNumId w:val="2"/>
  </w:num>
  <w:num w:numId="2">
    <w:abstractNumId w:val="7"/>
  </w:num>
  <w:num w:numId="3">
    <w:abstractNumId w:val="4"/>
  </w:num>
  <w:num w:numId="4">
    <w:abstractNumId w:val="6"/>
  </w:num>
  <w:num w:numId="5">
    <w:abstractNumId w:val="1"/>
  </w:num>
  <w:num w:numId="6">
    <w:abstractNumId w:val="3"/>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7"/>
    <w:rsid w:val="002C04ED"/>
    <w:rsid w:val="00495C56"/>
    <w:rsid w:val="005C53AF"/>
    <w:rsid w:val="006115D7"/>
    <w:rsid w:val="00624C58"/>
    <w:rsid w:val="00825D16"/>
    <w:rsid w:val="00B70DFA"/>
    <w:rsid w:val="00DB2270"/>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8017</Words>
  <Characters>45697</Characters>
  <Application>Microsoft Office Word</Application>
  <DocSecurity>0</DocSecurity>
  <Lines>380</Lines>
  <Paragraphs>107</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Segreteria5</cp:lastModifiedBy>
  <cp:revision>3</cp:revision>
  <dcterms:created xsi:type="dcterms:W3CDTF">2025-03-10T08:15:00Z</dcterms:created>
  <dcterms:modified xsi:type="dcterms:W3CDTF">2025-03-10T08:31:00Z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