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1F6FC" w14:textId="2DFEE6F5" w:rsidR="00171DE6" w:rsidRDefault="00BF7655" w:rsidP="002B465B">
      <w:pPr>
        <w:pStyle w:val="Normale1"/>
        <w:widowControl w:val="0"/>
        <w:pBdr>
          <w:top w:val="nil"/>
          <w:left w:val="nil"/>
          <w:bottom w:val="nil"/>
          <w:right w:val="nil"/>
          <w:between w:val="nil"/>
        </w:pBdr>
        <w:spacing w:line="259" w:lineRule="auto"/>
        <w:rPr>
          <w:rFonts w:ascii="Times New Roman" w:eastAsia="Times New Roman" w:hAnsi="Times New Roman" w:cs="Times New Roman"/>
          <w:color w:val="000000"/>
          <w:sz w:val="21"/>
          <w:szCs w:val="21"/>
        </w:rPr>
      </w:pPr>
      <w:r>
        <w:rPr>
          <w:rFonts w:ascii="Times New Roman" w:eastAsia="Times New Roman" w:hAnsi="Times New Roman" w:cs="Times New Roman"/>
          <w:b/>
          <w:i/>
          <w:color w:val="000000"/>
          <w:sz w:val="21"/>
          <w:szCs w:val="21"/>
        </w:rPr>
        <w:t xml:space="preserve"> SCHEDA PER L'INDIVIDUAZIONE DEI DOCENTI</w:t>
      </w:r>
      <w:r w:rsidR="001C6AE2">
        <w:rPr>
          <w:rFonts w:ascii="Times New Roman" w:eastAsia="Times New Roman" w:hAnsi="Times New Roman" w:cs="Times New Roman"/>
          <w:b/>
          <w:i/>
          <w:color w:val="000000"/>
          <w:sz w:val="21"/>
          <w:szCs w:val="21"/>
        </w:rPr>
        <w:t xml:space="preserve"> SOPRANNUMERARI PER L’ A.S. 202</w:t>
      </w:r>
      <w:r w:rsidR="008525A2">
        <w:rPr>
          <w:rFonts w:ascii="Times New Roman" w:eastAsia="Times New Roman" w:hAnsi="Times New Roman" w:cs="Times New Roman"/>
          <w:b/>
          <w:i/>
          <w:color w:val="000000"/>
          <w:sz w:val="21"/>
          <w:szCs w:val="21"/>
        </w:rPr>
        <w:t>4</w:t>
      </w:r>
      <w:r w:rsidR="007B2ABA">
        <w:rPr>
          <w:rFonts w:ascii="Times New Roman" w:eastAsia="Times New Roman" w:hAnsi="Times New Roman" w:cs="Times New Roman"/>
          <w:b/>
          <w:i/>
          <w:color w:val="000000"/>
          <w:sz w:val="21"/>
          <w:szCs w:val="21"/>
        </w:rPr>
        <w:t>/2</w:t>
      </w:r>
      <w:r w:rsidR="008525A2">
        <w:rPr>
          <w:rFonts w:ascii="Times New Roman" w:eastAsia="Times New Roman" w:hAnsi="Times New Roman" w:cs="Times New Roman"/>
          <w:b/>
          <w:i/>
          <w:color w:val="000000"/>
          <w:sz w:val="21"/>
          <w:szCs w:val="21"/>
        </w:rPr>
        <w:t>5</w:t>
      </w:r>
    </w:p>
    <w:p w14:paraId="012D1983" w14:textId="77777777" w:rsidR="00171DE6" w:rsidRDefault="00171DE6">
      <w:pPr>
        <w:pStyle w:val="Normale1"/>
        <w:widowControl w:val="0"/>
        <w:pBdr>
          <w:top w:val="nil"/>
          <w:left w:val="nil"/>
          <w:bottom w:val="nil"/>
          <w:right w:val="nil"/>
          <w:between w:val="nil"/>
        </w:pBdr>
        <w:spacing w:line="259" w:lineRule="auto"/>
        <w:ind w:left="4375" w:firstLine="581"/>
        <w:jc w:val="center"/>
        <w:rPr>
          <w:rFonts w:ascii="Times New Roman" w:eastAsia="Times New Roman" w:hAnsi="Times New Roman" w:cs="Times New Roman"/>
          <w:color w:val="000000"/>
          <w:sz w:val="21"/>
          <w:szCs w:val="21"/>
        </w:rPr>
      </w:pPr>
    </w:p>
    <w:p w14:paraId="3A3862A6" w14:textId="77777777" w:rsidR="00171DE6" w:rsidRDefault="00BF7655" w:rsidP="002B465B">
      <w:pPr>
        <w:pStyle w:val="Normale1"/>
        <w:widowControl w:val="0"/>
        <w:pBdr>
          <w:top w:val="nil"/>
          <w:left w:val="nil"/>
          <w:bottom w:val="nil"/>
          <w:right w:val="nil"/>
          <w:between w:val="nil"/>
        </w:pBdr>
        <w:spacing w:line="259" w:lineRule="auto"/>
        <w:ind w:left="5083" w:firstLine="580"/>
        <w:jc w:val="right"/>
        <w:rPr>
          <w:rFonts w:ascii="Times New Roman" w:eastAsia="Times New Roman" w:hAnsi="Times New Roman" w:cs="Times New Roman"/>
          <w:color w:val="000000"/>
          <w:sz w:val="21"/>
          <w:szCs w:val="21"/>
        </w:rPr>
      </w:pPr>
      <w:r>
        <w:rPr>
          <w:rFonts w:ascii="Times New Roman" w:eastAsia="Times New Roman" w:hAnsi="Times New Roman" w:cs="Times New Roman"/>
          <w:b/>
          <w:i/>
          <w:color w:val="000000"/>
          <w:sz w:val="21"/>
          <w:szCs w:val="21"/>
        </w:rPr>
        <w:t xml:space="preserve">AL DIRIGENTE SCOLASTICO                                                                                  </w:t>
      </w:r>
    </w:p>
    <w:p w14:paraId="202D4CA8" w14:textId="77777777" w:rsidR="004021BF" w:rsidRDefault="000B61D2" w:rsidP="002B465B">
      <w:pPr>
        <w:pStyle w:val="Normale1"/>
        <w:widowControl w:val="0"/>
        <w:pBdr>
          <w:top w:val="nil"/>
          <w:left w:val="nil"/>
          <w:bottom w:val="nil"/>
          <w:right w:val="nil"/>
          <w:between w:val="nil"/>
        </w:pBdr>
        <w:spacing w:line="259" w:lineRule="auto"/>
        <w:ind w:left="835"/>
        <w:jc w:val="right"/>
        <w:rPr>
          <w:rFonts w:ascii="Times New Roman" w:eastAsia="Times New Roman" w:hAnsi="Times New Roman" w:cs="Times New Roman"/>
          <w:b/>
          <w:i/>
          <w:color w:val="000000"/>
          <w:sz w:val="21"/>
          <w:szCs w:val="21"/>
        </w:rPr>
      </w:pPr>
      <w:r w:rsidRPr="000B61D2">
        <w:rPr>
          <w:rFonts w:ascii="Times New Roman" w:eastAsia="Times New Roman" w:hAnsi="Times New Roman" w:cs="Times New Roman"/>
          <w:i/>
          <w:color w:val="000000"/>
          <w:sz w:val="21"/>
          <w:szCs w:val="21"/>
        </w:rPr>
        <w:t xml:space="preserve">        </w:t>
      </w:r>
      <w:r w:rsidR="001A4154" w:rsidRPr="000B61D2">
        <w:rPr>
          <w:rFonts w:ascii="Times New Roman" w:eastAsia="Times New Roman" w:hAnsi="Times New Roman" w:cs="Times New Roman"/>
          <w:i/>
          <w:color w:val="000000"/>
          <w:sz w:val="21"/>
          <w:szCs w:val="21"/>
        </w:rPr>
        <w:t xml:space="preserve">   </w:t>
      </w:r>
      <w:r w:rsidRPr="000B61D2">
        <w:rPr>
          <w:rFonts w:ascii="Times New Roman" w:eastAsia="Times New Roman" w:hAnsi="Times New Roman" w:cs="Times New Roman"/>
          <w:i/>
          <w:color w:val="000000"/>
          <w:sz w:val="21"/>
          <w:szCs w:val="21"/>
        </w:rPr>
        <w:t xml:space="preserve">                                                                           </w:t>
      </w:r>
      <w:r w:rsidRPr="000B61D2">
        <w:rPr>
          <w:rFonts w:ascii="Times New Roman" w:eastAsia="Times New Roman" w:hAnsi="Times New Roman" w:cs="Times New Roman"/>
          <w:b/>
          <w:i/>
          <w:color w:val="000000"/>
          <w:sz w:val="21"/>
          <w:szCs w:val="21"/>
        </w:rPr>
        <w:t>DELL’I.</w:t>
      </w:r>
      <w:r w:rsidR="002B465B">
        <w:rPr>
          <w:rFonts w:ascii="Times New Roman" w:eastAsia="Times New Roman" w:hAnsi="Times New Roman" w:cs="Times New Roman"/>
          <w:b/>
          <w:i/>
          <w:color w:val="000000"/>
          <w:sz w:val="21"/>
          <w:szCs w:val="21"/>
        </w:rPr>
        <w:t>I.S. “D. REA”</w:t>
      </w:r>
    </w:p>
    <w:p w14:paraId="04E27984" w14:textId="77777777" w:rsidR="002B465B" w:rsidRPr="000B61D2" w:rsidRDefault="002B465B" w:rsidP="002B465B">
      <w:pPr>
        <w:pStyle w:val="Normale1"/>
        <w:widowControl w:val="0"/>
        <w:pBdr>
          <w:top w:val="nil"/>
          <w:left w:val="nil"/>
          <w:bottom w:val="nil"/>
          <w:right w:val="nil"/>
          <w:between w:val="nil"/>
        </w:pBdr>
        <w:spacing w:line="259" w:lineRule="auto"/>
        <w:ind w:left="835"/>
        <w:jc w:val="right"/>
        <w:rPr>
          <w:rFonts w:ascii="Times New Roman" w:eastAsia="Times New Roman" w:hAnsi="Times New Roman" w:cs="Times New Roman"/>
          <w:b/>
          <w:i/>
          <w:color w:val="000000"/>
          <w:sz w:val="21"/>
          <w:szCs w:val="21"/>
        </w:rPr>
      </w:pPr>
      <w:r>
        <w:rPr>
          <w:rFonts w:ascii="Times New Roman" w:eastAsia="Times New Roman" w:hAnsi="Times New Roman" w:cs="Times New Roman"/>
          <w:b/>
          <w:i/>
          <w:color w:val="000000"/>
          <w:sz w:val="21"/>
          <w:szCs w:val="21"/>
        </w:rPr>
        <w:t>NOCERA INFERIORE (SA)</w:t>
      </w:r>
    </w:p>
    <w:p w14:paraId="7F5C5E11" w14:textId="77777777" w:rsidR="002B465B" w:rsidRDefault="002B465B">
      <w:pPr>
        <w:pStyle w:val="Normale1"/>
        <w:widowControl w:val="0"/>
        <w:pBdr>
          <w:top w:val="nil"/>
          <w:left w:val="nil"/>
          <w:bottom w:val="nil"/>
          <w:right w:val="nil"/>
          <w:between w:val="nil"/>
        </w:pBdr>
        <w:rPr>
          <w:rFonts w:ascii="Times New Roman" w:eastAsia="Times New Roman" w:hAnsi="Times New Roman" w:cs="Times New Roman"/>
          <w:color w:val="000000"/>
        </w:rPr>
      </w:pPr>
    </w:p>
    <w:p w14:paraId="1591BD52"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Il/La sottoscritto/</w:t>
      </w:r>
      <w:proofErr w:type="gramStart"/>
      <w:r>
        <w:rPr>
          <w:rFonts w:ascii="Times New Roman" w:eastAsia="Times New Roman" w:hAnsi="Times New Roman" w:cs="Times New Roman"/>
          <w:color w:val="000000"/>
        </w:rPr>
        <w:t>a  ...........................................................................</w:t>
      </w:r>
      <w:proofErr w:type="gramEnd"/>
      <w:r>
        <w:rPr>
          <w:rFonts w:ascii="Times New Roman" w:eastAsia="Times New Roman" w:hAnsi="Times New Roman" w:cs="Times New Roman"/>
          <w:color w:val="000000"/>
        </w:rPr>
        <w:t>nato/a ............................................(prov................)</w:t>
      </w:r>
    </w:p>
    <w:p w14:paraId="1318B21B"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Il .......................................residente in ...........................................................................................................................</w:t>
      </w:r>
    </w:p>
    <w:p w14:paraId="35757BF1"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Insegnante di scuola.............................................................................................(cl.di </w:t>
      </w:r>
      <w:proofErr w:type="spellStart"/>
      <w:r>
        <w:rPr>
          <w:rFonts w:ascii="Times New Roman" w:eastAsia="Times New Roman" w:hAnsi="Times New Roman" w:cs="Times New Roman"/>
          <w:color w:val="000000"/>
        </w:rPr>
        <w:t>conc</w:t>
      </w:r>
      <w:proofErr w:type="spellEnd"/>
      <w:r>
        <w:rPr>
          <w:rFonts w:ascii="Times New Roman" w:eastAsia="Times New Roman" w:hAnsi="Times New Roman" w:cs="Times New Roman"/>
          <w:color w:val="000000"/>
        </w:rPr>
        <w:t>..................)</w:t>
      </w:r>
    </w:p>
    <w:p w14:paraId="7720A6FC"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titolare presso la Scuola..........................................................................di............................dall’A.S................. con </w:t>
      </w:r>
      <w:proofErr w:type="spellStart"/>
      <w:r>
        <w:rPr>
          <w:rFonts w:ascii="Times New Roman" w:eastAsia="Times New Roman" w:hAnsi="Times New Roman" w:cs="Times New Roman"/>
          <w:color w:val="000000"/>
        </w:rPr>
        <w:t>dec</w:t>
      </w:r>
      <w:proofErr w:type="spellEnd"/>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giuridica  dal</w:t>
      </w:r>
      <w:proofErr w:type="gramEnd"/>
      <w:r>
        <w:rPr>
          <w:rFonts w:ascii="Times New Roman" w:eastAsia="Times New Roman" w:hAnsi="Times New Roman" w:cs="Times New Roman"/>
          <w:color w:val="000000"/>
        </w:rPr>
        <w:t xml:space="preserve"> ........../............/......... immesso in ruolo ai sensi </w:t>
      </w:r>
      <w:r>
        <w:rPr>
          <w:rFonts w:ascii="Times New Roman" w:eastAsia="Times New Roman" w:hAnsi="Times New Roman" w:cs="Times New Roman"/>
          <w:color w:val="000000"/>
        </w:rPr>
        <w:tab/>
        <w:t>con effet</w:t>
      </w:r>
      <w:r w:rsidR="002B465B">
        <w:rPr>
          <w:rFonts w:ascii="Times New Roman" w:eastAsia="Times New Roman" w:hAnsi="Times New Roman" w:cs="Times New Roman"/>
          <w:color w:val="000000"/>
        </w:rPr>
        <w:t>tiva assunzione in servizio dal</w:t>
      </w:r>
      <w:r>
        <w:rPr>
          <w:rFonts w:ascii="Times New Roman" w:eastAsia="Times New Roman" w:hAnsi="Times New Roman" w:cs="Times New Roman"/>
          <w:color w:val="000000"/>
        </w:rPr>
        <w:t>……\......\.............  ai fini della formulazione della graduatoria dichiara sotto la propria responsabilità:</w:t>
      </w:r>
    </w:p>
    <w:tbl>
      <w:tblPr>
        <w:tblStyle w:val="a"/>
        <w:tblW w:w="9648" w:type="dxa"/>
        <w:jc w:val="center"/>
        <w:tblInd w:w="0" w:type="dxa"/>
        <w:tblLayout w:type="fixed"/>
        <w:tblLook w:val="0000" w:firstRow="0" w:lastRow="0" w:firstColumn="0" w:lastColumn="0" w:noHBand="0" w:noVBand="0"/>
      </w:tblPr>
      <w:tblGrid>
        <w:gridCol w:w="7236"/>
        <w:gridCol w:w="537"/>
        <w:gridCol w:w="667"/>
        <w:gridCol w:w="1208"/>
      </w:tblGrid>
      <w:tr w:rsidR="00171DE6" w14:paraId="5D1037FC" w14:textId="77777777">
        <w:trPr>
          <w:jc w:val="center"/>
        </w:trPr>
        <w:tc>
          <w:tcPr>
            <w:tcW w:w="7236" w:type="dxa"/>
            <w:tcBorders>
              <w:top w:val="single" w:sz="4" w:space="0" w:color="000000"/>
              <w:left w:val="single" w:sz="4" w:space="0" w:color="000000"/>
              <w:right w:val="single" w:sz="4" w:space="0" w:color="000000"/>
            </w:tcBorders>
            <w:vAlign w:val="center"/>
          </w:tcPr>
          <w:p w14:paraId="3AB31AF7"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da compilare a cura dell'interessato </w:t>
            </w:r>
          </w:p>
        </w:tc>
        <w:tc>
          <w:tcPr>
            <w:tcW w:w="537" w:type="dxa"/>
            <w:tcBorders>
              <w:top w:val="single" w:sz="4" w:space="0" w:color="000000"/>
              <w:left w:val="single" w:sz="4" w:space="0" w:color="000000"/>
              <w:right w:val="single" w:sz="4" w:space="0" w:color="000000"/>
            </w:tcBorders>
            <w:vAlign w:val="center"/>
          </w:tcPr>
          <w:p w14:paraId="041E54AB" w14:textId="77777777" w:rsidR="00171DE6" w:rsidRDefault="00BF7655">
            <w:pPr>
              <w:pStyle w:val="Normale1"/>
              <w:widowControl w:val="0"/>
              <w:pBdr>
                <w:top w:val="nil"/>
                <w:left w:val="nil"/>
                <w:bottom w:val="nil"/>
                <w:right w:val="nil"/>
                <w:between w:val="nil"/>
              </w:pBdr>
              <w:ind w:left="14"/>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Anni </w:t>
            </w:r>
          </w:p>
        </w:tc>
        <w:tc>
          <w:tcPr>
            <w:tcW w:w="667" w:type="dxa"/>
            <w:tcBorders>
              <w:top w:val="single" w:sz="4" w:space="0" w:color="000000"/>
              <w:left w:val="single" w:sz="4" w:space="0" w:color="000000"/>
              <w:right w:val="single" w:sz="4" w:space="0" w:color="000000"/>
            </w:tcBorders>
            <w:vAlign w:val="center"/>
          </w:tcPr>
          <w:p w14:paraId="1AA2DCEB" w14:textId="77777777" w:rsidR="00171DE6" w:rsidRDefault="00BF7655">
            <w:pPr>
              <w:pStyle w:val="Normale1"/>
              <w:widowControl w:val="0"/>
              <w:pBdr>
                <w:top w:val="nil"/>
                <w:left w:val="nil"/>
                <w:bottom w:val="nil"/>
                <w:right w:val="nil"/>
                <w:between w:val="nil"/>
              </w:pBdr>
              <w:ind w:left="14"/>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Punti </w:t>
            </w:r>
          </w:p>
        </w:tc>
        <w:tc>
          <w:tcPr>
            <w:tcW w:w="1208" w:type="dxa"/>
            <w:tcBorders>
              <w:top w:val="single" w:sz="4" w:space="0" w:color="000000"/>
              <w:left w:val="single" w:sz="4" w:space="0" w:color="000000"/>
              <w:right w:val="single" w:sz="4" w:space="0" w:color="000000"/>
            </w:tcBorders>
            <w:vAlign w:val="center"/>
          </w:tcPr>
          <w:p w14:paraId="7501F112" w14:textId="77777777" w:rsidR="00171DE6" w:rsidRDefault="00BF7655">
            <w:pPr>
              <w:pStyle w:val="Normale1"/>
              <w:widowControl w:val="0"/>
              <w:pBdr>
                <w:top w:val="nil"/>
                <w:left w:val="nil"/>
                <w:bottom w:val="nil"/>
                <w:right w:val="nil"/>
                <w:between w:val="nil"/>
              </w:pBdr>
              <w:ind w:left="48"/>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Riservato al </w:t>
            </w:r>
          </w:p>
          <w:p w14:paraId="668A273D" w14:textId="77777777" w:rsidR="00171DE6" w:rsidRDefault="00BF7655">
            <w:pPr>
              <w:pStyle w:val="Normale1"/>
              <w:widowControl w:val="0"/>
              <w:pBdr>
                <w:top w:val="nil"/>
                <w:left w:val="nil"/>
                <w:bottom w:val="nil"/>
                <w:right w:val="nil"/>
                <w:between w:val="nil"/>
              </w:pBdr>
              <w:ind w:left="48"/>
              <w:jc w:val="center"/>
              <w:rPr>
                <w:rFonts w:ascii="Times New Roman" w:eastAsia="Times New Roman" w:hAnsi="Times New Roman" w:cs="Times New Roman"/>
                <w:color w:val="000000"/>
                <w:sz w:val="18"/>
                <w:szCs w:val="18"/>
              </w:rPr>
            </w:pPr>
            <w:proofErr w:type="spellStart"/>
            <w:r>
              <w:rPr>
                <w:rFonts w:ascii="Times New Roman" w:eastAsia="Times New Roman" w:hAnsi="Times New Roman" w:cs="Times New Roman"/>
                <w:color w:val="000000"/>
                <w:sz w:val="18"/>
                <w:szCs w:val="18"/>
              </w:rPr>
              <w:t>Dir.Scol</w:t>
            </w:r>
            <w:proofErr w:type="spellEnd"/>
            <w:r>
              <w:rPr>
                <w:rFonts w:ascii="Times New Roman" w:eastAsia="Times New Roman" w:hAnsi="Times New Roman" w:cs="Times New Roman"/>
                <w:color w:val="000000"/>
                <w:sz w:val="18"/>
                <w:szCs w:val="18"/>
              </w:rPr>
              <w:t xml:space="preserve">. </w:t>
            </w:r>
          </w:p>
        </w:tc>
      </w:tr>
      <w:tr w:rsidR="00171DE6" w14:paraId="51522F4B" w14:textId="77777777">
        <w:trPr>
          <w:jc w:val="center"/>
        </w:trPr>
        <w:tc>
          <w:tcPr>
            <w:tcW w:w="7236" w:type="dxa"/>
            <w:tcBorders>
              <w:top w:val="single" w:sz="4" w:space="0" w:color="000000"/>
              <w:left w:val="single" w:sz="4" w:space="0" w:color="000000"/>
              <w:bottom w:val="single" w:sz="4" w:space="0" w:color="000000"/>
              <w:right w:val="single" w:sz="4" w:space="0" w:color="000000"/>
            </w:tcBorders>
            <w:vAlign w:val="center"/>
          </w:tcPr>
          <w:p w14:paraId="52409CCE" w14:textId="77777777" w:rsidR="00171DE6" w:rsidRDefault="00BF7655">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I - ANZIANITÀ DI SERVIZIO: </w:t>
            </w:r>
          </w:p>
        </w:tc>
        <w:tc>
          <w:tcPr>
            <w:tcW w:w="537" w:type="dxa"/>
            <w:tcBorders>
              <w:top w:val="single" w:sz="4" w:space="0" w:color="000000"/>
              <w:left w:val="single" w:sz="4" w:space="0" w:color="000000"/>
              <w:bottom w:val="single" w:sz="4" w:space="0" w:color="000000"/>
              <w:right w:val="single" w:sz="4" w:space="0" w:color="000000"/>
            </w:tcBorders>
            <w:vAlign w:val="center"/>
          </w:tcPr>
          <w:p w14:paraId="13CC7802"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2624B128"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68AD097F"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574CA510" w14:textId="77777777">
        <w:trPr>
          <w:jc w:val="center"/>
        </w:trPr>
        <w:tc>
          <w:tcPr>
            <w:tcW w:w="7236" w:type="dxa"/>
            <w:vMerge w:val="restart"/>
            <w:tcBorders>
              <w:top w:val="single" w:sz="4" w:space="0" w:color="000000"/>
              <w:left w:val="single" w:sz="4" w:space="0" w:color="000000"/>
              <w:right w:val="single" w:sz="4" w:space="0" w:color="000000"/>
            </w:tcBorders>
            <w:vAlign w:val="center"/>
          </w:tcPr>
          <w:p w14:paraId="58ED2823"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A)  per ogni anno di servizio comunque prestato, successivamente alla decorrenza </w:t>
            </w:r>
            <w:proofErr w:type="gramStart"/>
            <w:r>
              <w:rPr>
                <w:rFonts w:ascii="Times New Roman" w:eastAsia="Times New Roman" w:hAnsi="Times New Roman" w:cs="Times New Roman"/>
                <w:color w:val="000000"/>
                <w:sz w:val="18"/>
                <w:szCs w:val="18"/>
              </w:rPr>
              <w:t>giuridica  della</w:t>
            </w:r>
            <w:proofErr w:type="gramEnd"/>
            <w:r>
              <w:rPr>
                <w:rFonts w:ascii="Times New Roman" w:eastAsia="Times New Roman" w:hAnsi="Times New Roman" w:cs="Times New Roman"/>
                <w:color w:val="000000"/>
                <w:sz w:val="18"/>
                <w:szCs w:val="18"/>
              </w:rPr>
              <w:t xml:space="preserve"> nomina, nel ruolo di appartenenza (1)                                                                                     (Punti 6) </w:t>
            </w:r>
          </w:p>
        </w:tc>
        <w:tc>
          <w:tcPr>
            <w:tcW w:w="537" w:type="dxa"/>
            <w:tcBorders>
              <w:top w:val="single" w:sz="4" w:space="0" w:color="000000"/>
              <w:left w:val="single" w:sz="4" w:space="0" w:color="000000"/>
              <w:bottom w:val="nil"/>
              <w:right w:val="single" w:sz="4" w:space="0" w:color="000000"/>
            </w:tcBorders>
            <w:vAlign w:val="center"/>
          </w:tcPr>
          <w:p w14:paraId="1D29A307"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single" w:sz="4" w:space="0" w:color="000000"/>
              <w:left w:val="single" w:sz="4" w:space="0" w:color="000000"/>
              <w:bottom w:val="nil"/>
              <w:right w:val="single" w:sz="4" w:space="0" w:color="000000"/>
            </w:tcBorders>
            <w:vAlign w:val="center"/>
          </w:tcPr>
          <w:p w14:paraId="616014FD"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single" w:sz="4" w:space="0" w:color="000000"/>
              <w:left w:val="single" w:sz="4" w:space="0" w:color="000000"/>
              <w:bottom w:val="nil"/>
              <w:right w:val="single" w:sz="4" w:space="0" w:color="000000"/>
            </w:tcBorders>
            <w:vAlign w:val="center"/>
          </w:tcPr>
          <w:p w14:paraId="3E1218C2"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0C0DECCD" w14:textId="77777777">
        <w:trPr>
          <w:jc w:val="center"/>
        </w:trPr>
        <w:tc>
          <w:tcPr>
            <w:tcW w:w="7236" w:type="dxa"/>
            <w:vMerge/>
            <w:tcBorders>
              <w:top w:val="single" w:sz="4" w:space="0" w:color="000000"/>
              <w:left w:val="single" w:sz="4" w:space="0" w:color="000000"/>
              <w:right w:val="single" w:sz="4" w:space="0" w:color="000000"/>
            </w:tcBorders>
            <w:vAlign w:val="center"/>
          </w:tcPr>
          <w:p w14:paraId="326547CE"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single" w:sz="4" w:space="0" w:color="000000"/>
              <w:right w:val="single" w:sz="4" w:space="0" w:color="000000"/>
            </w:tcBorders>
            <w:vAlign w:val="center"/>
          </w:tcPr>
          <w:p w14:paraId="72808060"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single" w:sz="4" w:space="0" w:color="000000"/>
              <w:right w:val="single" w:sz="4" w:space="0" w:color="000000"/>
            </w:tcBorders>
            <w:vAlign w:val="center"/>
          </w:tcPr>
          <w:p w14:paraId="46C9DB36"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single" w:sz="4" w:space="0" w:color="000000"/>
              <w:right w:val="single" w:sz="4" w:space="0" w:color="000000"/>
            </w:tcBorders>
            <w:vAlign w:val="center"/>
          </w:tcPr>
          <w:p w14:paraId="48EB75AB"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604E8D94" w14:textId="77777777">
        <w:trPr>
          <w:jc w:val="center"/>
        </w:trPr>
        <w:tc>
          <w:tcPr>
            <w:tcW w:w="7236" w:type="dxa"/>
            <w:vMerge w:val="restart"/>
            <w:tcBorders>
              <w:top w:val="single" w:sz="4" w:space="0" w:color="000000"/>
              <w:left w:val="single" w:sz="4" w:space="0" w:color="000000"/>
              <w:right w:val="single" w:sz="4" w:space="0" w:color="000000"/>
            </w:tcBorders>
            <w:vAlign w:val="center"/>
          </w:tcPr>
          <w:p w14:paraId="0D42397C"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A1) per ogni anno di servizio </w:t>
            </w:r>
            <w:proofErr w:type="gramStart"/>
            <w:r>
              <w:rPr>
                <w:rFonts w:ascii="Times New Roman" w:eastAsia="Times New Roman" w:hAnsi="Times New Roman" w:cs="Times New Roman"/>
                <w:color w:val="000000"/>
                <w:sz w:val="18"/>
                <w:szCs w:val="18"/>
              </w:rPr>
              <w:t>effettivamente  prestato</w:t>
            </w:r>
            <w:proofErr w:type="gramEnd"/>
            <w:r>
              <w:rPr>
                <w:rFonts w:ascii="Times New Roman" w:eastAsia="Times New Roman" w:hAnsi="Times New Roman" w:cs="Times New Roman"/>
                <w:color w:val="000000"/>
                <w:sz w:val="18"/>
                <w:szCs w:val="18"/>
              </w:rPr>
              <w:t xml:space="preserve"> (2) dopo la nomina nel ruolo di appartenenza in scuole o istituti situati nelle piccole isole (3) in aggiunta al punteggio di cui al punto A)                (Punti 6) </w:t>
            </w:r>
          </w:p>
        </w:tc>
        <w:tc>
          <w:tcPr>
            <w:tcW w:w="537" w:type="dxa"/>
            <w:tcBorders>
              <w:top w:val="single" w:sz="4" w:space="0" w:color="000000"/>
              <w:left w:val="single" w:sz="4" w:space="0" w:color="000000"/>
              <w:bottom w:val="nil"/>
              <w:right w:val="single" w:sz="4" w:space="0" w:color="000000"/>
            </w:tcBorders>
            <w:vAlign w:val="center"/>
          </w:tcPr>
          <w:p w14:paraId="40A408B0"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single" w:sz="4" w:space="0" w:color="000000"/>
              <w:left w:val="single" w:sz="4" w:space="0" w:color="000000"/>
              <w:bottom w:val="nil"/>
              <w:right w:val="single" w:sz="4" w:space="0" w:color="000000"/>
            </w:tcBorders>
            <w:vAlign w:val="center"/>
          </w:tcPr>
          <w:p w14:paraId="6FEE1C14"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single" w:sz="4" w:space="0" w:color="000000"/>
              <w:left w:val="single" w:sz="4" w:space="0" w:color="000000"/>
              <w:bottom w:val="nil"/>
              <w:right w:val="single" w:sz="4" w:space="0" w:color="000000"/>
            </w:tcBorders>
            <w:vAlign w:val="center"/>
          </w:tcPr>
          <w:p w14:paraId="1CB82ACC"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0F8A8B64" w14:textId="77777777">
        <w:trPr>
          <w:jc w:val="center"/>
        </w:trPr>
        <w:tc>
          <w:tcPr>
            <w:tcW w:w="7236" w:type="dxa"/>
            <w:vMerge/>
            <w:tcBorders>
              <w:top w:val="single" w:sz="4" w:space="0" w:color="000000"/>
              <w:left w:val="single" w:sz="4" w:space="0" w:color="000000"/>
              <w:right w:val="single" w:sz="4" w:space="0" w:color="000000"/>
            </w:tcBorders>
            <w:vAlign w:val="center"/>
          </w:tcPr>
          <w:p w14:paraId="409A4CD1"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14:paraId="7A81D6E6"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14:paraId="621E21C0"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14:paraId="3901A7AE"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62A819D9" w14:textId="77777777">
        <w:trPr>
          <w:jc w:val="center"/>
        </w:trPr>
        <w:tc>
          <w:tcPr>
            <w:tcW w:w="7236" w:type="dxa"/>
            <w:vMerge/>
            <w:tcBorders>
              <w:top w:val="single" w:sz="4" w:space="0" w:color="000000"/>
              <w:left w:val="single" w:sz="4" w:space="0" w:color="000000"/>
              <w:right w:val="single" w:sz="4" w:space="0" w:color="000000"/>
            </w:tcBorders>
            <w:vAlign w:val="center"/>
          </w:tcPr>
          <w:p w14:paraId="51123240"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single" w:sz="4" w:space="0" w:color="000000"/>
              <w:right w:val="single" w:sz="4" w:space="0" w:color="000000"/>
            </w:tcBorders>
            <w:vAlign w:val="center"/>
          </w:tcPr>
          <w:p w14:paraId="421EA08F"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single" w:sz="4" w:space="0" w:color="000000"/>
              <w:right w:val="single" w:sz="4" w:space="0" w:color="000000"/>
            </w:tcBorders>
            <w:vAlign w:val="center"/>
          </w:tcPr>
          <w:p w14:paraId="2C026997"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single" w:sz="4" w:space="0" w:color="000000"/>
              <w:right w:val="single" w:sz="4" w:space="0" w:color="000000"/>
            </w:tcBorders>
            <w:vAlign w:val="center"/>
          </w:tcPr>
          <w:p w14:paraId="73997EF3"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39E1DE56" w14:textId="77777777">
        <w:trPr>
          <w:jc w:val="center"/>
        </w:trPr>
        <w:tc>
          <w:tcPr>
            <w:tcW w:w="7236" w:type="dxa"/>
            <w:vMerge w:val="restart"/>
            <w:tcBorders>
              <w:top w:val="single" w:sz="4" w:space="0" w:color="000000"/>
              <w:left w:val="single" w:sz="4" w:space="0" w:color="000000"/>
              <w:right w:val="single" w:sz="4" w:space="0" w:color="000000"/>
            </w:tcBorders>
            <w:vAlign w:val="center"/>
          </w:tcPr>
          <w:p w14:paraId="65F4977C"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B) per ogni anno di servizio preruolo o di altro servizio di ruolo riconosciuto o valutato </w:t>
            </w:r>
            <w:proofErr w:type="gramStart"/>
            <w:r>
              <w:rPr>
                <w:rFonts w:ascii="Times New Roman" w:eastAsia="Times New Roman" w:hAnsi="Times New Roman" w:cs="Times New Roman"/>
                <w:color w:val="000000"/>
                <w:sz w:val="18"/>
                <w:szCs w:val="18"/>
              </w:rPr>
              <w:t>ai  fini</w:t>
            </w:r>
            <w:proofErr w:type="gramEnd"/>
            <w:r>
              <w:rPr>
                <w:rFonts w:ascii="Times New Roman" w:eastAsia="Times New Roman" w:hAnsi="Times New Roman" w:cs="Times New Roman"/>
                <w:color w:val="000000"/>
                <w:sz w:val="18"/>
                <w:szCs w:val="18"/>
              </w:rPr>
              <w:t xml:space="preserve"> della carriera o per ogni anno di servizio preruolo o di altro servizio di ruolo prestato nella scuola secondaria di secondo grado (4) </w:t>
            </w:r>
          </w:p>
          <w:p w14:paraId="73646156"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(Punti 3</w:t>
            </w:r>
            <w:proofErr w:type="gramStart"/>
            <w:r>
              <w:rPr>
                <w:rFonts w:ascii="Times New Roman" w:eastAsia="Times New Roman" w:hAnsi="Times New Roman" w:cs="Times New Roman"/>
                <w:color w:val="000000"/>
                <w:sz w:val="18"/>
                <w:szCs w:val="18"/>
              </w:rPr>
              <w:t>)  per</w:t>
            </w:r>
            <w:proofErr w:type="gramEnd"/>
            <w:r>
              <w:rPr>
                <w:rFonts w:ascii="Times New Roman" w:eastAsia="Times New Roman" w:hAnsi="Times New Roman" w:cs="Times New Roman"/>
                <w:color w:val="000000"/>
                <w:sz w:val="18"/>
                <w:szCs w:val="18"/>
              </w:rPr>
              <w:t xml:space="preserve"> i primi 4 anni</w:t>
            </w:r>
          </w:p>
          <w:p w14:paraId="6CF712A8"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(Punti 2) per gli anni successivi al 4 anno</w:t>
            </w:r>
          </w:p>
          <w:p w14:paraId="5D939EF5"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w:t>
            </w:r>
          </w:p>
        </w:tc>
        <w:tc>
          <w:tcPr>
            <w:tcW w:w="537" w:type="dxa"/>
            <w:tcBorders>
              <w:top w:val="single" w:sz="4" w:space="0" w:color="000000"/>
              <w:left w:val="single" w:sz="4" w:space="0" w:color="000000"/>
              <w:bottom w:val="nil"/>
              <w:right w:val="single" w:sz="4" w:space="0" w:color="000000"/>
            </w:tcBorders>
            <w:vAlign w:val="center"/>
          </w:tcPr>
          <w:p w14:paraId="0345F473"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single" w:sz="4" w:space="0" w:color="000000"/>
              <w:left w:val="single" w:sz="4" w:space="0" w:color="000000"/>
              <w:bottom w:val="nil"/>
              <w:right w:val="single" w:sz="4" w:space="0" w:color="000000"/>
            </w:tcBorders>
            <w:vAlign w:val="center"/>
          </w:tcPr>
          <w:p w14:paraId="2DBF9248"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single" w:sz="4" w:space="0" w:color="000000"/>
              <w:left w:val="single" w:sz="4" w:space="0" w:color="000000"/>
              <w:bottom w:val="nil"/>
              <w:right w:val="single" w:sz="4" w:space="0" w:color="000000"/>
            </w:tcBorders>
            <w:vAlign w:val="center"/>
          </w:tcPr>
          <w:p w14:paraId="295B97F8"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456EC504" w14:textId="77777777">
        <w:trPr>
          <w:jc w:val="center"/>
        </w:trPr>
        <w:tc>
          <w:tcPr>
            <w:tcW w:w="7236" w:type="dxa"/>
            <w:vMerge/>
            <w:tcBorders>
              <w:top w:val="single" w:sz="4" w:space="0" w:color="000000"/>
              <w:left w:val="single" w:sz="4" w:space="0" w:color="000000"/>
              <w:right w:val="single" w:sz="4" w:space="0" w:color="000000"/>
            </w:tcBorders>
            <w:vAlign w:val="center"/>
          </w:tcPr>
          <w:p w14:paraId="291B4988"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14:paraId="16E0BA67"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14:paraId="465BCCA5"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14:paraId="4AC6BDDE"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7E31CFD0" w14:textId="77777777">
        <w:trPr>
          <w:trHeight w:val="695"/>
          <w:jc w:val="center"/>
        </w:trPr>
        <w:tc>
          <w:tcPr>
            <w:tcW w:w="7236" w:type="dxa"/>
            <w:vMerge/>
            <w:tcBorders>
              <w:top w:val="single" w:sz="4" w:space="0" w:color="000000"/>
              <w:left w:val="single" w:sz="4" w:space="0" w:color="000000"/>
              <w:right w:val="single" w:sz="4" w:space="0" w:color="000000"/>
            </w:tcBorders>
            <w:vAlign w:val="center"/>
          </w:tcPr>
          <w:p w14:paraId="4588FC5A"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single" w:sz="4" w:space="0" w:color="000000"/>
              <w:right w:val="single" w:sz="4" w:space="0" w:color="000000"/>
            </w:tcBorders>
            <w:vAlign w:val="center"/>
          </w:tcPr>
          <w:p w14:paraId="3345D0A1"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single" w:sz="4" w:space="0" w:color="000000"/>
              <w:right w:val="single" w:sz="4" w:space="0" w:color="000000"/>
            </w:tcBorders>
            <w:vAlign w:val="center"/>
          </w:tcPr>
          <w:p w14:paraId="1861725A"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single" w:sz="4" w:space="0" w:color="000000"/>
              <w:right w:val="single" w:sz="4" w:space="0" w:color="000000"/>
            </w:tcBorders>
            <w:vAlign w:val="center"/>
          </w:tcPr>
          <w:p w14:paraId="6D6CB392"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47F5727A" w14:textId="77777777">
        <w:trPr>
          <w:jc w:val="center"/>
        </w:trPr>
        <w:tc>
          <w:tcPr>
            <w:tcW w:w="7236" w:type="dxa"/>
            <w:vMerge w:val="restart"/>
            <w:tcBorders>
              <w:top w:val="single" w:sz="4" w:space="0" w:color="000000"/>
              <w:left w:val="single" w:sz="4" w:space="0" w:color="000000"/>
              <w:right w:val="single" w:sz="4" w:space="0" w:color="000000"/>
            </w:tcBorders>
            <w:vAlign w:val="center"/>
          </w:tcPr>
          <w:p w14:paraId="57FE4E6E"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B1) (valido solo per la scuola secondaria di II grado ed artistica) </w:t>
            </w:r>
            <w:proofErr w:type="gramStart"/>
            <w:r>
              <w:rPr>
                <w:rFonts w:ascii="Times New Roman" w:eastAsia="Times New Roman" w:hAnsi="Times New Roman" w:cs="Times New Roman"/>
                <w:color w:val="000000"/>
                <w:sz w:val="18"/>
                <w:szCs w:val="18"/>
              </w:rPr>
              <w:t>per  ogni</w:t>
            </w:r>
            <w:proofErr w:type="gramEnd"/>
            <w:r>
              <w:rPr>
                <w:rFonts w:ascii="Times New Roman" w:eastAsia="Times New Roman" w:hAnsi="Times New Roman" w:cs="Times New Roman"/>
                <w:color w:val="000000"/>
                <w:sz w:val="18"/>
                <w:szCs w:val="18"/>
              </w:rPr>
              <w:t xml:space="preserve"> anno  di servizio  prestato in posizione di comando ai sensi  dell'art. 5  della legge 603/66 nella scuola  secondaria  superiore successivamente alla  nomina in  ruolo nella scuola secondaria di  I  grado in aggiunta al punteggio di cui al  punto B                                                                                                                      (Punti 3) </w:t>
            </w:r>
          </w:p>
        </w:tc>
        <w:tc>
          <w:tcPr>
            <w:tcW w:w="537" w:type="dxa"/>
            <w:tcBorders>
              <w:top w:val="single" w:sz="4" w:space="0" w:color="000000"/>
              <w:left w:val="single" w:sz="4" w:space="0" w:color="000000"/>
              <w:bottom w:val="nil"/>
              <w:right w:val="single" w:sz="4" w:space="0" w:color="000000"/>
            </w:tcBorders>
            <w:vAlign w:val="center"/>
          </w:tcPr>
          <w:p w14:paraId="5213B324"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single" w:sz="4" w:space="0" w:color="000000"/>
              <w:left w:val="single" w:sz="4" w:space="0" w:color="000000"/>
              <w:bottom w:val="nil"/>
              <w:right w:val="single" w:sz="4" w:space="0" w:color="000000"/>
            </w:tcBorders>
            <w:vAlign w:val="center"/>
          </w:tcPr>
          <w:p w14:paraId="58CC5C78"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single" w:sz="4" w:space="0" w:color="000000"/>
              <w:left w:val="single" w:sz="4" w:space="0" w:color="000000"/>
              <w:bottom w:val="nil"/>
              <w:right w:val="single" w:sz="4" w:space="0" w:color="000000"/>
            </w:tcBorders>
            <w:vAlign w:val="center"/>
          </w:tcPr>
          <w:p w14:paraId="3304531E"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0633C08B" w14:textId="77777777">
        <w:trPr>
          <w:jc w:val="center"/>
        </w:trPr>
        <w:tc>
          <w:tcPr>
            <w:tcW w:w="7236" w:type="dxa"/>
            <w:vMerge/>
            <w:tcBorders>
              <w:top w:val="single" w:sz="4" w:space="0" w:color="000000"/>
              <w:left w:val="single" w:sz="4" w:space="0" w:color="000000"/>
              <w:right w:val="single" w:sz="4" w:space="0" w:color="000000"/>
            </w:tcBorders>
            <w:vAlign w:val="center"/>
          </w:tcPr>
          <w:p w14:paraId="2E357E39"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14:paraId="55382A9F"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14:paraId="66C7EE66"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14:paraId="1F11BAB0"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414C8C45" w14:textId="77777777">
        <w:trPr>
          <w:jc w:val="center"/>
        </w:trPr>
        <w:tc>
          <w:tcPr>
            <w:tcW w:w="7236" w:type="dxa"/>
            <w:vMerge/>
            <w:tcBorders>
              <w:top w:val="single" w:sz="4" w:space="0" w:color="000000"/>
              <w:left w:val="single" w:sz="4" w:space="0" w:color="000000"/>
              <w:right w:val="single" w:sz="4" w:space="0" w:color="000000"/>
            </w:tcBorders>
            <w:vAlign w:val="center"/>
          </w:tcPr>
          <w:p w14:paraId="0A6E365E"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14:paraId="41286B85"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14:paraId="46B1B012"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14:paraId="29BC8BD1"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59619D89" w14:textId="77777777">
        <w:trPr>
          <w:jc w:val="center"/>
        </w:trPr>
        <w:tc>
          <w:tcPr>
            <w:tcW w:w="7236" w:type="dxa"/>
            <w:vMerge/>
            <w:tcBorders>
              <w:top w:val="single" w:sz="4" w:space="0" w:color="000000"/>
              <w:left w:val="single" w:sz="4" w:space="0" w:color="000000"/>
              <w:right w:val="single" w:sz="4" w:space="0" w:color="000000"/>
            </w:tcBorders>
            <w:vAlign w:val="center"/>
          </w:tcPr>
          <w:p w14:paraId="30AE0783"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single" w:sz="4" w:space="0" w:color="000000"/>
              <w:right w:val="single" w:sz="4" w:space="0" w:color="000000"/>
            </w:tcBorders>
            <w:vAlign w:val="center"/>
          </w:tcPr>
          <w:p w14:paraId="1F62FB44"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single" w:sz="4" w:space="0" w:color="000000"/>
              <w:right w:val="single" w:sz="4" w:space="0" w:color="000000"/>
            </w:tcBorders>
            <w:vAlign w:val="center"/>
          </w:tcPr>
          <w:p w14:paraId="334E2EE7"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single" w:sz="4" w:space="0" w:color="000000"/>
              <w:right w:val="single" w:sz="4" w:space="0" w:color="000000"/>
            </w:tcBorders>
            <w:vAlign w:val="center"/>
          </w:tcPr>
          <w:p w14:paraId="596A2D88"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18EADFBB" w14:textId="77777777">
        <w:trPr>
          <w:jc w:val="center"/>
        </w:trPr>
        <w:tc>
          <w:tcPr>
            <w:tcW w:w="7236" w:type="dxa"/>
            <w:vMerge w:val="restart"/>
            <w:tcBorders>
              <w:top w:val="single" w:sz="4" w:space="0" w:color="000000"/>
              <w:left w:val="single" w:sz="4" w:space="0" w:color="000000"/>
              <w:right w:val="single" w:sz="4" w:space="0" w:color="000000"/>
            </w:tcBorders>
            <w:vAlign w:val="center"/>
          </w:tcPr>
          <w:p w14:paraId="10E57686"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B2) per ogni anno di servizio preruolo o di altro servizio di ruolo riconosciuto o valutato </w:t>
            </w:r>
            <w:proofErr w:type="gramStart"/>
            <w:r>
              <w:rPr>
                <w:rFonts w:ascii="Times New Roman" w:eastAsia="Times New Roman" w:hAnsi="Times New Roman" w:cs="Times New Roman"/>
                <w:color w:val="000000"/>
                <w:sz w:val="18"/>
                <w:szCs w:val="18"/>
              </w:rPr>
              <w:t>ai  fini</w:t>
            </w:r>
            <w:proofErr w:type="gramEnd"/>
            <w:r>
              <w:rPr>
                <w:rFonts w:ascii="Times New Roman" w:eastAsia="Times New Roman" w:hAnsi="Times New Roman" w:cs="Times New Roman"/>
                <w:color w:val="000000"/>
                <w:sz w:val="18"/>
                <w:szCs w:val="18"/>
              </w:rPr>
              <w:t xml:space="preserve"> della  carriera  o  per ogni anno di servizio preruolo o di altro servizio di ruolo  nella  scuola dell'infanzia, effettivamente prestato (2) in scuole o istituti situati nelle piccole isole  (3) e (4) in aggiunta al punteggio di cui al punto B) e B1)                                                                        (Punti 3) </w:t>
            </w:r>
          </w:p>
        </w:tc>
        <w:tc>
          <w:tcPr>
            <w:tcW w:w="537" w:type="dxa"/>
            <w:tcBorders>
              <w:top w:val="single" w:sz="4" w:space="0" w:color="000000"/>
              <w:left w:val="single" w:sz="4" w:space="0" w:color="000000"/>
              <w:bottom w:val="nil"/>
              <w:right w:val="single" w:sz="4" w:space="0" w:color="000000"/>
            </w:tcBorders>
            <w:vAlign w:val="center"/>
          </w:tcPr>
          <w:p w14:paraId="4E00BFC8"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single" w:sz="4" w:space="0" w:color="000000"/>
              <w:left w:val="single" w:sz="4" w:space="0" w:color="000000"/>
              <w:bottom w:val="nil"/>
              <w:right w:val="single" w:sz="4" w:space="0" w:color="000000"/>
            </w:tcBorders>
            <w:vAlign w:val="center"/>
          </w:tcPr>
          <w:p w14:paraId="0DCA31FA"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single" w:sz="4" w:space="0" w:color="000000"/>
              <w:left w:val="single" w:sz="4" w:space="0" w:color="000000"/>
              <w:bottom w:val="nil"/>
              <w:right w:val="single" w:sz="4" w:space="0" w:color="000000"/>
            </w:tcBorders>
            <w:vAlign w:val="center"/>
          </w:tcPr>
          <w:p w14:paraId="20EC00E4"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30A80297" w14:textId="77777777">
        <w:trPr>
          <w:jc w:val="center"/>
        </w:trPr>
        <w:tc>
          <w:tcPr>
            <w:tcW w:w="7236" w:type="dxa"/>
            <w:vMerge/>
            <w:tcBorders>
              <w:top w:val="single" w:sz="4" w:space="0" w:color="000000"/>
              <w:left w:val="single" w:sz="4" w:space="0" w:color="000000"/>
              <w:right w:val="single" w:sz="4" w:space="0" w:color="000000"/>
            </w:tcBorders>
            <w:vAlign w:val="center"/>
          </w:tcPr>
          <w:p w14:paraId="0595C58E"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14:paraId="5DC88A0A"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14:paraId="716476F9"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14:paraId="36352A64"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3FE8A3C2" w14:textId="77777777">
        <w:trPr>
          <w:jc w:val="center"/>
        </w:trPr>
        <w:tc>
          <w:tcPr>
            <w:tcW w:w="7236" w:type="dxa"/>
            <w:vMerge/>
            <w:tcBorders>
              <w:top w:val="single" w:sz="4" w:space="0" w:color="000000"/>
              <w:left w:val="single" w:sz="4" w:space="0" w:color="000000"/>
              <w:right w:val="single" w:sz="4" w:space="0" w:color="000000"/>
            </w:tcBorders>
            <w:vAlign w:val="center"/>
          </w:tcPr>
          <w:p w14:paraId="3878208A"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14:paraId="7385251F"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14:paraId="55EE120B"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14:paraId="29370C89"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5D49E3B4" w14:textId="77777777">
        <w:trPr>
          <w:jc w:val="center"/>
        </w:trPr>
        <w:tc>
          <w:tcPr>
            <w:tcW w:w="7236" w:type="dxa"/>
            <w:vMerge/>
            <w:tcBorders>
              <w:top w:val="single" w:sz="4" w:space="0" w:color="000000"/>
              <w:left w:val="single" w:sz="4" w:space="0" w:color="000000"/>
              <w:right w:val="single" w:sz="4" w:space="0" w:color="000000"/>
            </w:tcBorders>
            <w:vAlign w:val="center"/>
          </w:tcPr>
          <w:p w14:paraId="5ADF27F6"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single" w:sz="4" w:space="0" w:color="000000"/>
              <w:right w:val="single" w:sz="4" w:space="0" w:color="000000"/>
            </w:tcBorders>
            <w:vAlign w:val="center"/>
          </w:tcPr>
          <w:p w14:paraId="3E0CE414"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single" w:sz="4" w:space="0" w:color="000000"/>
              <w:right w:val="single" w:sz="4" w:space="0" w:color="000000"/>
            </w:tcBorders>
            <w:vAlign w:val="center"/>
          </w:tcPr>
          <w:p w14:paraId="0F96B9B2"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single" w:sz="4" w:space="0" w:color="000000"/>
              <w:right w:val="single" w:sz="4" w:space="0" w:color="000000"/>
            </w:tcBorders>
            <w:vAlign w:val="center"/>
          </w:tcPr>
          <w:p w14:paraId="245EA0C1"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31C79ABE" w14:textId="77777777">
        <w:trPr>
          <w:jc w:val="center"/>
        </w:trPr>
        <w:tc>
          <w:tcPr>
            <w:tcW w:w="7236" w:type="dxa"/>
            <w:vMerge w:val="restart"/>
            <w:tcBorders>
              <w:top w:val="single" w:sz="4" w:space="0" w:color="000000"/>
              <w:left w:val="single" w:sz="4" w:space="0" w:color="000000"/>
              <w:right w:val="single" w:sz="4" w:space="0" w:color="000000"/>
            </w:tcBorders>
            <w:vAlign w:val="center"/>
          </w:tcPr>
          <w:p w14:paraId="76B15730"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B3)  (valido solo per la scuola elementare) per ogni anno di servizio di ruolo effettivamente  prestato come "specialista" per l'insegnamento della  lingua straniera dall'anno scolastico  92/93 fino all' anno scolastico 97/98 (in aggiunta  al punteggio  di  cui alle lettere B e B2)  rispettivamente:  </w:t>
            </w:r>
            <w:r>
              <w:rPr>
                <w:rFonts w:ascii="Times New Roman" w:eastAsia="Times New Roman" w:hAnsi="Times New Roman" w:cs="Times New Roman"/>
                <w:color w:val="000000"/>
                <w:sz w:val="18"/>
                <w:szCs w:val="18"/>
              </w:rPr>
              <w:br/>
            </w:r>
            <w:r>
              <w:rPr>
                <w:rFonts w:ascii="Arial" w:eastAsia="Arial" w:hAnsi="Arial" w:cs="Arial"/>
                <w:color w:val="000000"/>
                <w:sz w:val="15"/>
                <w:szCs w:val="15"/>
              </w:rPr>
              <w:t xml:space="preserve">-  </w:t>
            </w:r>
            <w:r>
              <w:rPr>
                <w:rFonts w:ascii="Times New Roman" w:eastAsia="Times New Roman" w:hAnsi="Times New Roman" w:cs="Times New Roman"/>
                <w:color w:val="000000"/>
                <w:sz w:val="18"/>
                <w:szCs w:val="18"/>
              </w:rPr>
              <w:t xml:space="preserve">se il servizio </w:t>
            </w:r>
            <w:proofErr w:type="spellStart"/>
            <w:r>
              <w:rPr>
                <w:rFonts w:ascii="Times New Roman" w:eastAsia="Times New Roman" w:hAnsi="Times New Roman" w:cs="Times New Roman"/>
                <w:color w:val="000000"/>
                <w:sz w:val="4"/>
                <w:szCs w:val="4"/>
              </w:rPr>
              <w:t>é</w:t>
            </w:r>
            <w:proofErr w:type="spellEnd"/>
            <w:r>
              <w:rPr>
                <w:rFonts w:ascii="Times New Roman" w:eastAsia="Times New Roman" w:hAnsi="Times New Roman" w:cs="Times New Roman"/>
                <w:color w:val="000000"/>
                <w:sz w:val="4"/>
                <w:szCs w:val="4"/>
              </w:rPr>
              <w:t xml:space="preserve"> </w:t>
            </w:r>
            <w:r>
              <w:rPr>
                <w:rFonts w:ascii="Times New Roman" w:eastAsia="Times New Roman" w:hAnsi="Times New Roman" w:cs="Times New Roman"/>
                <w:color w:val="000000"/>
                <w:sz w:val="18"/>
                <w:szCs w:val="18"/>
              </w:rPr>
              <w:t xml:space="preserve">prestato nell'ambito del plesso di titolarità                                                 (Punti 0,5)  </w:t>
            </w:r>
            <w:r>
              <w:rPr>
                <w:rFonts w:ascii="Times New Roman" w:eastAsia="Times New Roman" w:hAnsi="Times New Roman" w:cs="Times New Roman"/>
                <w:color w:val="000000"/>
                <w:sz w:val="18"/>
                <w:szCs w:val="18"/>
              </w:rPr>
              <w:br/>
            </w:r>
            <w:r>
              <w:rPr>
                <w:rFonts w:ascii="Arial" w:eastAsia="Arial" w:hAnsi="Arial" w:cs="Arial"/>
                <w:color w:val="000000"/>
                <w:sz w:val="15"/>
                <w:szCs w:val="15"/>
              </w:rPr>
              <w:t xml:space="preserve">-  </w:t>
            </w:r>
            <w:r>
              <w:rPr>
                <w:rFonts w:ascii="Times New Roman" w:eastAsia="Times New Roman" w:hAnsi="Times New Roman" w:cs="Times New Roman"/>
                <w:color w:val="000000"/>
                <w:sz w:val="18"/>
                <w:szCs w:val="18"/>
              </w:rPr>
              <w:t xml:space="preserve">se il servizio </w:t>
            </w:r>
            <w:proofErr w:type="spellStart"/>
            <w:r>
              <w:rPr>
                <w:rFonts w:ascii="Times New Roman" w:eastAsia="Times New Roman" w:hAnsi="Times New Roman" w:cs="Times New Roman"/>
                <w:color w:val="000000"/>
                <w:sz w:val="4"/>
                <w:szCs w:val="4"/>
              </w:rPr>
              <w:t>é</w:t>
            </w:r>
            <w:proofErr w:type="spellEnd"/>
            <w:r>
              <w:rPr>
                <w:rFonts w:ascii="Times New Roman" w:eastAsia="Times New Roman" w:hAnsi="Times New Roman" w:cs="Times New Roman"/>
                <w:color w:val="000000"/>
                <w:sz w:val="4"/>
                <w:szCs w:val="4"/>
              </w:rPr>
              <w:t xml:space="preserve"> </w:t>
            </w:r>
            <w:r>
              <w:rPr>
                <w:rFonts w:ascii="Times New Roman" w:eastAsia="Times New Roman" w:hAnsi="Times New Roman" w:cs="Times New Roman"/>
                <w:color w:val="000000"/>
                <w:sz w:val="18"/>
                <w:szCs w:val="18"/>
              </w:rPr>
              <w:t xml:space="preserve">stato prestato al di fuori del plesso di titolarità                                           (Punti 1) </w:t>
            </w:r>
          </w:p>
        </w:tc>
        <w:tc>
          <w:tcPr>
            <w:tcW w:w="537" w:type="dxa"/>
            <w:tcBorders>
              <w:top w:val="single" w:sz="4" w:space="0" w:color="000000"/>
              <w:left w:val="single" w:sz="4" w:space="0" w:color="000000"/>
              <w:bottom w:val="nil"/>
              <w:right w:val="single" w:sz="4" w:space="0" w:color="000000"/>
            </w:tcBorders>
            <w:vAlign w:val="center"/>
          </w:tcPr>
          <w:p w14:paraId="0C6AD4BC"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single" w:sz="4" w:space="0" w:color="000000"/>
              <w:left w:val="single" w:sz="4" w:space="0" w:color="000000"/>
              <w:bottom w:val="nil"/>
              <w:right w:val="single" w:sz="4" w:space="0" w:color="000000"/>
            </w:tcBorders>
            <w:vAlign w:val="center"/>
          </w:tcPr>
          <w:p w14:paraId="796FF35B"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single" w:sz="4" w:space="0" w:color="000000"/>
              <w:left w:val="single" w:sz="4" w:space="0" w:color="000000"/>
              <w:bottom w:val="nil"/>
              <w:right w:val="single" w:sz="4" w:space="0" w:color="000000"/>
            </w:tcBorders>
            <w:vAlign w:val="center"/>
          </w:tcPr>
          <w:p w14:paraId="56D7D9B3"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7DF0FC77" w14:textId="77777777">
        <w:trPr>
          <w:jc w:val="center"/>
        </w:trPr>
        <w:tc>
          <w:tcPr>
            <w:tcW w:w="7236" w:type="dxa"/>
            <w:vMerge/>
            <w:tcBorders>
              <w:top w:val="single" w:sz="4" w:space="0" w:color="000000"/>
              <w:left w:val="single" w:sz="4" w:space="0" w:color="000000"/>
              <w:right w:val="single" w:sz="4" w:space="0" w:color="000000"/>
            </w:tcBorders>
            <w:vAlign w:val="center"/>
          </w:tcPr>
          <w:p w14:paraId="51884862"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14:paraId="744DBDE0"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14:paraId="657A3841"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14:paraId="1CCCF573"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4F710722" w14:textId="77777777">
        <w:trPr>
          <w:jc w:val="center"/>
        </w:trPr>
        <w:tc>
          <w:tcPr>
            <w:tcW w:w="7236" w:type="dxa"/>
            <w:vMerge/>
            <w:tcBorders>
              <w:top w:val="single" w:sz="4" w:space="0" w:color="000000"/>
              <w:left w:val="single" w:sz="4" w:space="0" w:color="000000"/>
              <w:right w:val="single" w:sz="4" w:space="0" w:color="000000"/>
            </w:tcBorders>
            <w:vAlign w:val="center"/>
          </w:tcPr>
          <w:p w14:paraId="21124A35"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14:paraId="55B59929"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14:paraId="32C1A5CB"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14:paraId="4A0225CD"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642A1A4B" w14:textId="77777777">
        <w:trPr>
          <w:jc w:val="center"/>
        </w:trPr>
        <w:tc>
          <w:tcPr>
            <w:tcW w:w="7236" w:type="dxa"/>
            <w:vMerge/>
            <w:tcBorders>
              <w:top w:val="single" w:sz="4" w:space="0" w:color="000000"/>
              <w:left w:val="single" w:sz="4" w:space="0" w:color="000000"/>
              <w:right w:val="single" w:sz="4" w:space="0" w:color="000000"/>
            </w:tcBorders>
            <w:vAlign w:val="center"/>
          </w:tcPr>
          <w:p w14:paraId="3E2B7F24"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14:paraId="25B94F1D"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14:paraId="511CC681"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14:paraId="57F81AD4"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2EDD520A" w14:textId="77777777">
        <w:trPr>
          <w:jc w:val="center"/>
        </w:trPr>
        <w:tc>
          <w:tcPr>
            <w:tcW w:w="7236" w:type="dxa"/>
            <w:vMerge/>
            <w:tcBorders>
              <w:top w:val="single" w:sz="4" w:space="0" w:color="000000"/>
              <w:left w:val="single" w:sz="4" w:space="0" w:color="000000"/>
              <w:right w:val="single" w:sz="4" w:space="0" w:color="000000"/>
            </w:tcBorders>
            <w:vAlign w:val="center"/>
          </w:tcPr>
          <w:p w14:paraId="3E3FA2F0"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14:paraId="2A5A960C"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14:paraId="703B216C"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14:paraId="277E2EFC"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70E1711A" w14:textId="77777777">
        <w:trPr>
          <w:jc w:val="center"/>
        </w:trPr>
        <w:tc>
          <w:tcPr>
            <w:tcW w:w="7236" w:type="dxa"/>
            <w:vMerge/>
            <w:tcBorders>
              <w:top w:val="single" w:sz="4" w:space="0" w:color="000000"/>
              <w:left w:val="single" w:sz="4" w:space="0" w:color="000000"/>
              <w:right w:val="single" w:sz="4" w:space="0" w:color="000000"/>
            </w:tcBorders>
            <w:vAlign w:val="center"/>
          </w:tcPr>
          <w:p w14:paraId="7BA110F6"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single" w:sz="4" w:space="0" w:color="000000"/>
              <w:right w:val="single" w:sz="4" w:space="0" w:color="000000"/>
            </w:tcBorders>
            <w:vAlign w:val="center"/>
          </w:tcPr>
          <w:p w14:paraId="6D14AA92"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single" w:sz="4" w:space="0" w:color="000000"/>
              <w:right w:val="single" w:sz="4" w:space="0" w:color="000000"/>
            </w:tcBorders>
            <w:vAlign w:val="center"/>
          </w:tcPr>
          <w:p w14:paraId="4CE090F5"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single" w:sz="4" w:space="0" w:color="000000"/>
              <w:right w:val="single" w:sz="4" w:space="0" w:color="000000"/>
            </w:tcBorders>
            <w:vAlign w:val="center"/>
          </w:tcPr>
          <w:p w14:paraId="5E25F2D3"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7B2DF29C" w14:textId="77777777">
        <w:trPr>
          <w:jc w:val="center"/>
        </w:trPr>
        <w:tc>
          <w:tcPr>
            <w:tcW w:w="7236" w:type="dxa"/>
            <w:vMerge w:val="restart"/>
            <w:tcBorders>
              <w:top w:val="single" w:sz="4" w:space="0" w:color="000000"/>
              <w:left w:val="single" w:sz="4" w:space="0" w:color="000000"/>
              <w:right w:val="single" w:sz="4" w:space="0" w:color="000000"/>
            </w:tcBorders>
            <w:vAlign w:val="center"/>
          </w:tcPr>
          <w:p w14:paraId="13BCD43B"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C) per il servizio di ruolo prestato senza soluzione di continuità negli ultimi tre anni scolastici  nella scuola di attuale titolarità ovvero nella scuola di servizio per i titolari di Dotazione  Organica di Sostegno (DOS) nella scuola secondaria di secondo grado e per i docenti di  religione cattolica (5) (in aggiunta a quello previsto dalle lettere A), Al), B), BI), B2), B3)  (N.B.: per i trasferimenti d'ufficio si veda anche la nota 5 bis).                                                                                     (Punti 6)  </w:t>
            </w:r>
            <w:r>
              <w:rPr>
                <w:rFonts w:ascii="Times New Roman" w:eastAsia="Times New Roman" w:hAnsi="Times New Roman" w:cs="Times New Roman"/>
                <w:color w:val="000000"/>
                <w:sz w:val="18"/>
                <w:szCs w:val="18"/>
              </w:rPr>
              <w:br/>
              <w:t xml:space="preserve">Per ogni ulteriore anno di servizio:  </w:t>
            </w:r>
            <w:r>
              <w:rPr>
                <w:rFonts w:ascii="Times New Roman" w:eastAsia="Times New Roman" w:hAnsi="Times New Roman" w:cs="Times New Roman"/>
                <w:color w:val="000000"/>
                <w:sz w:val="18"/>
                <w:szCs w:val="18"/>
              </w:rPr>
              <w:br/>
              <w:t xml:space="preserve">entro il quinquennio                                                                                                             </w:t>
            </w:r>
            <w:proofErr w:type="gramStart"/>
            <w:r>
              <w:rPr>
                <w:rFonts w:ascii="Times New Roman" w:eastAsia="Times New Roman" w:hAnsi="Times New Roman" w:cs="Times New Roman"/>
                <w:color w:val="000000"/>
                <w:sz w:val="18"/>
                <w:szCs w:val="18"/>
              </w:rPr>
              <w:t xml:space="preserve">   (</w:t>
            </w:r>
            <w:proofErr w:type="gramEnd"/>
            <w:r>
              <w:rPr>
                <w:rFonts w:ascii="Times New Roman" w:eastAsia="Times New Roman" w:hAnsi="Times New Roman" w:cs="Times New Roman"/>
                <w:color w:val="000000"/>
                <w:sz w:val="18"/>
                <w:szCs w:val="18"/>
              </w:rPr>
              <w:t xml:space="preserve">Punti 2)  </w:t>
            </w:r>
            <w:r>
              <w:rPr>
                <w:rFonts w:ascii="Times New Roman" w:eastAsia="Times New Roman" w:hAnsi="Times New Roman" w:cs="Times New Roman"/>
                <w:color w:val="000000"/>
                <w:sz w:val="18"/>
                <w:szCs w:val="18"/>
              </w:rPr>
              <w:br/>
              <w:t xml:space="preserve">oltre il quinquennio                                                                                                                 (Punti 3)  </w:t>
            </w:r>
            <w:r>
              <w:rPr>
                <w:rFonts w:ascii="Times New Roman" w:eastAsia="Times New Roman" w:hAnsi="Times New Roman" w:cs="Times New Roman"/>
                <w:color w:val="000000"/>
                <w:sz w:val="18"/>
                <w:szCs w:val="18"/>
              </w:rPr>
              <w:br/>
              <w:t xml:space="preserve">per il servizio prestato nelle piccole isole il punteggio si raddoppia </w:t>
            </w:r>
          </w:p>
        </w:tc>
        <w:tc>
          <w:tcPr>
            <w:tcW w:w="537" w:type="dxa"/>
            <w:tcBorders>
              <w:top w:val="single" w:sz="4" w:space="0" w:color="000000"/>
              <w:left w:val="single" w:sz="4" w:space="0" w:color="000000"/>
              <w:bottom w:val="nil"/>
              <w:right w:val="single" w:sz="4" w:space="0" w:color="000000"/>
            </w:tcBorders>
            <w:vAlign w:val="center"/>
          </w:tcPr>
          <w:p w14:paraId="4E26908F"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single" w:sz="4" w:space="0" w:color="000000"/>
              <w:left w:val="single" w:sz="4" w:space="0" w:color="000000"/>
              <w:bottom w:val="nil"/>
              <w:right w:val="single" w:sz="4" w:space="0" w:color="000000"/>
            </w:tcBorders>
            <w:vAlign w:val="center"/>
          </w:tcPr>
          <w:p w14:paraId="38848F79"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single" w:sz="4" w:space="0" w:color="000000"/>
              <w:left w:val="single" w:sz="4" w:space="0" w:color="000000"/>
              <w:bottom w:val="nil"/>
              <w:right w:val="single" w:sz="4" w:space="0" w:color="000000"/>
            </w:tcBorders>
            <w:vAlign w:val="center"/>
          </w:tcPr>
          <w:p w14:paraId="5080E069"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1E284CB8" w14:textId="77777777">
        <w:trPr>
          <w:jc w:val="center"/>
        </w:trPr>
        <w:tc>
          <w:tcPr>
            <w:tcW w:w="7236" w:type="dxa"/>
            <w:vMerge/>
            <w:tcBorders>
              <w:top w:val="single" w:sz="4" w:space="0" w:color="000000"/>
              <w:left w:val="single" w:sz="4" w:space="0" w:color="000000"/>
              <w:right w:val="single" w:sz="4" w:space="0" w:color="000000"/>
            </w:tcBorders>
            <w:vAlign w:val="center"/>
          </w:tcPr>
          <w:p w14:paraId="2CC13C0A"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14:paraId="0C291EBB"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14:paraId="208CB045"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14:paraId="505313B8"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68F1A3B7" w14:textId="77777777">
        <w:trPr>
          <w:jc w:val="center"/>
        </w:trPr>
        <w:tc>
          <w:tcPr>
            <w:tcW w:w="7236" w:type="dxa"/>
            <w:vMerge/>
            <w:tcBorders>
              <w:top w:val="single" w:sz="4" w:space="0" w:color="000000"/>
              <w:left w:val="single" w:sz="4" w:space="0" w:color="000000"/>
              <w:right w:val="single" w:sz="4" w:space="0" w:color="000000"/>
            </w:tcBorders>
            <w:vAlign w:val="center"/>
          </w:tcPr>
          <w:p w14:paraId="0B13DE47"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14:paraId="1442FC73"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14:paraId="68DB7329"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14:paraId="45DDCC41"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0DDD650C" w14:textId="77777777">
        <w:trPr>
          <w:jc w:val="center"/>
        </w:trPr>
        <w:tc>
          <w:tcPr>
            <w:tcW w:w="7236" w:type="dxa"/>
            <w:vMerge/>
            <w:tcBorders>
              <w:top w:val="single" w:sz="4" w:space="0" w:color="000000"/>
              <w:left w:val="single" w:sz="4" w:space="0" w:color="000000"/>
              <w:right w:val="single" w:sz="4" w:space="0" w:color="000000"/>
            </w:tcBorders>
            <w:vAlign w:val="center"/>
          </w:tcPr>
          <w:p w14:paraId="192295F9"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14:paraId="5EE039E9"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14:paraId="5B1A9249"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14:paraId="256AD0EA"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2795CA57" w14:textId="77777777">
        <w:trPr>
          <w:jc w:val="center"/>
        </w:trPr>
        <w:tc>
          <w:tcPr>
            <w:tcW w:w="7236" w:type="dxa"/>
            <w:vMerge/>
            <w:tcBorders>
              <w:top w:val="single" w:sz="4" w:space="0" w:color="000000"/>
              <w:left w:val="single" w:sz="4" w:space="0" w:color="000000"/>
              <w:right w:val="single" w:sz="4" w:space="0" w:color="000000"/>
            </w:tcBorders>
            <w:vAlign w:val="center"/>
          </w:tcPr>
          <w:p w14:paraId="017A2E24"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14:paraId="4748D812"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14:paraId="5095FED5"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14:paraId="255E23F2"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57F753AF" w14:textId="77777777">
        <w:trPr>
          <w:jc w:val="center"/>
        </w:trPr>
        <w:tc>
          <w:tcPr>
            <w:tcW w:w="7236" w:type="dxa"/>
            <w:vMerge/>
            <w:tcBorders>
              <w:top w:val="single" w:sz="4" w:space="0" w:color="000000"/>
              <w:left w:val="single" w:sz="4" w:space="0" w:color="000000"/>
              <w:right w:val="single" w:sz="4" w:space="0" w:color="000000"/>
            </w:tcBorders>
            <w:vAlign w:val="center"/>
          </w:tcPr>
          <w:p w14:paraId="388033C3"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14:paraId="294E969C"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14:paraId="46F49F2F"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14:paraId="318BB6FA"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52C16D24" w14:textId="77777777">
        <w:trPr>
          <w:jc w:val="center"/>
        </w:trPr>
        <w:tc>
          <w:tcPr>
            <w:tcW w:w="7236" w:type="dxa"/>
            <w:vMerge/>
            <w:tcBorders>
              <w:top w:val="single" w:sz="4" w:space="0" w:color="000000"/>
              <w:left w:val="single" w:sz="4" w:space="0" w:color="000000"/>
              <w:right w:val="single" w:sz="4" w:space="0" w:color="000000"/>
            </w:tcBorders>
            <w:vAlign w:val="center"/>
          </w:tcPr>
          <w:p w14:paraId="465249A0"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14:paraId="5DDF4BED"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14:paraId="5A70A3E7"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14:paraId="2E4CC8D5"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324CEEF1" w14:textId="77777777">
        <w:trPr>
          <w:jc w:val="center"/>
        </w:trPr>
        <w:tc>
          <w:tcPr>
            <w:tcW w:w="7236" w:type="dxa"/>
            <w:vMerge/>
            <w:tcBorders>
              <w:top w:val="single" w:sz="4" w:space="0" w:color="000000"/>
              <w:left w:val="single" w:sz="4" w:space="0" w:color="000000"/>
              <w:right w:val="single" w:sz="4" w:space="0" w:color="000000"/>
            </w:tcBorders>
            <w:vAlign w:val="center"/>
          </w:tcPr>
          <w:p w14:paraId="6184EF25"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14:paraId="43D73BF4"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14:paraId="3323CD7E"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14:paraId="7F8F2A0B"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2952BD2B" w14:textId="77777777">
        <w:trPr>
          <w:jc w:val="center"/>
        </w:trPr>
        <w:tc>
          <w:tcPr>
            <w:tcW w:w="7236" w:type="dxa"/>
            <w:vMerge/>
            <w:tcBorders>
              <w:top w:val="single" w:sz="4" w:space="0" w:color="000000"/>
              <w:left w:val="single" w:sz="4" w:space="0" w:color="000000"/>
              <w:right w:val="single" w:sz="4" w:space="0" w:color="000000"/>
            </w:tcBorders>
            <w:vAlign w:val="center"/>
          </w:tcPr>
          <w:p w14:paraId="4C7772A2"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single" w:sz="4" w:space="0" w:color="000000"/>
              <w:right w:val="single" w:sz="4" w:space="0" w:color="000000"/>
            </w:tcBorders>
            <w:vAlign w:val="center"/>
          </w:tcPr>
          <w:p w14:paraId="1D759DF3"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single" w:sz="4" w:space="0" w:color="000000"/>
              <w:right w:val="single" w:sz="4" w:space="0" w:color="000000"/>
            </w:tcBorders>
            <w:vAlign w:val="center"/>
          </w:tcPr>
          <w:p w14:paraId="443938BC"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single" w:sz="4" w:space="0" w:color="000000"/>
              <w:right w:val="single" w:sz="4" w:space="0" w:color="000000"/>
            </w:tcBorders>
            <w:vAlign w:val="center"/>
          </w:tcPr>
          <w:p w14:paraId="62426CBF"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3DC807C8" w14:textId="77777777">
        <w:trPr>
          <w:jc w:val="center"/>
        </w:trPr>
        <w:tc>
          <w:tcPr>
            <w:tcW w:w="7236" w:type="dxa"/>
            <w:tcBorders>
              <w:left w:val="single" w:sz="4" w:space="0" w:color="000000"/>
              <w:bottom w:val="single" w:sz="4" w:space="0" w:color="000000"/>
              <w:right w:val="single" w:sz="4" w:space="0" w:color="000000"/>
            </w:tcBorders>
            <w:vAlign w:val="center"/>
          </w:tcPr>
          <w:p w14:paraId="662FF608"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C0</w:t>
            </w:r>
            <w:proofErr w:type="gramStart"/>
            <w:r>
              <w:rPr>
                <w:rFonts w:ascii="Times New Roman" w:eastAsia="Times New Roman" w:hAnsi="Times New Roman" w:cs="Times New Roman"/>
                <w:color w:val="000000"/>
                <w:sz w:val="18"/>
                <w:szCs w:val="18"/>
              </w:rPr>
              <w:t>)</w:t>
            </w:r>
            <w:r>
              <w:rPr>
                <w:color w:val="000000"/>
                <w:sz w:val="18"/>
                <w:szCs w:val="18"/>
              </w:rPr>
              <w:t xml:space="preserve">  per</w:t>
            </w:r>
            <w:proofErr w:type="gramEnd"/>
            <w:r>
              <w:rPr>
                <w:color w:val="000000"/>
                <w:sz w:val="18"/>
                <w:szCs w:val="18"/>
              </w:rPr>
              <w:t xml:space="preserve"> ogni anno di servizio di ruolo prestato nella sede (comune)di attuale titolarità prestato senza soluzione di continuità in aggiunta a quello previsto dalle lettere A), A1), B), B1), B2), B3)  (punti 1)</w:t>
            </w:r>
          </w:p>
        </w:tc>
        <w:tc>
          <w:tcPr>
            <w:tcW w:w="537" w:type="dxa"/>
            <w:tcBorders>
              <w:top w:val="nil"/>
              <w:left w:val="single" w:sz="4" w:space="0" w:color="000000"/>
              <w:bottom w:val="single" w:sz="4" w:space="0" w:color="000000"/>
              <w:right w:val="single" w:sz="4" w:space="0" w:color="000000"/>
            </w:tcBorders>
            <w:vAlign w:val="center"/>
          </w:tcPr>
          <w:p w14:paraId="58FE81D2"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single" w:sz="4" w:space="0" w:color="000000"/>
              <w:right w:val="single" w:sz="4" w:space="0" w:color="000000"/>
            </w:tcBorders>
            <w:vAlign w:val="center"/>
          </w:tcPr>
          <w:p w14:paraId="36C74B3A"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single" w:sz="4" w:space="0" w:color="000000"/>
              <w:right w:val="single" w:sz="4" w:space="0" w:color="000000"/>
            </w:tcBorders>
            <w:vAlign w:val="center"/>
          </w:tcPr>
          <w:p w14:paraId="169DC62A"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1D488847" w14:textId="77777777">
        <w:trPr>
          <w:jc w:val="center"/>
        </w:trPr>
        <w:tc>
          <w:tcPr>
            <w:tcW w:w="7236" w:type="dxa"/>
            <w:vMerge w:val="restart"/>
            <w:tcBorders>
              <w:top w:val="single" w:sz="4" w:space="0" w:color="000000"/>
              <w:left w:val="single" w:sz="4" w:space="0" w:color="000000"/>
              <w:right w:val="single" w:sz="4" w:space="0" w:color="000000"/>
            </w:tcBorders>
            <w:vAlign w:val="center"/>
          </w:tcPr>
          <w:p w14:paraId="3DDF6B48"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C1) per la sola scuola primaria:</w:t>
            </w:r>
            <w:r>
              <w:rPr>
                <w:rFonts w:ascii="Times New Roman" w:eastAsia="Times New Roman" w:hAnsi="Times New Roman" w:cs="Times New Roman"/>
                <w:color w:val="000000"/>
                <w:sz w:val="18"/>
                <w:szCs w:val="18"/>
              </w:rPr>
              <w:br/>
              <w:t>- per il servizio di ruolo effettivamente prestato per un solo triennio senza soluzione di continuità, a partire dall'anno scolastico 92/93 fino all' anno scolastico 97/98, come docente "specializzato" per l'insegnamento della lingua straniera (in aggiunta a quello previsto dalle lettere A), A1), B), B2), B3), C)                                                                                                                                  (Punti 1,5)</w:t>
            </w:r>
            <w:r>
              <w:rPr>
                <w:rFonts w:ascii="Times New Roman" w:eastAsia="Times New Roman" w:hAnsi="Times New Roman" w:cs="Times New Roman"/>
                <w:color w:val="000000"/>
                <w:sz w:val="18"/>
                <w:szCs w:val="18"/>
              </w:rPr>
              <w:br/>
              <w:t xml:space="preserve">- per il servizio di ruolo effettivamente prestato per un solo triennio senza soluzione di continuità, a partire dall' anno scolastico 92/93 fino all' anno scolastico 97/98, come docente "specialista" per l'insegnamento della lingua straniera (in aggiunta a quello previsto dalle lettere A, A1, B, B2, B3, C)                                                                                                                                           (Punti 3) </w:t>
            </w:r>
          </w:p>
        </w:tc>
        <w:tc>
          <w:tcPr>
            <w:tcW w:w="537" w:type="dxa"/>
            <w:tcBorders>
              <w:top w:val="single" w:sz="4" w:space="0" w:color="000000"/>
              <w:left w:val="single" w:sz="4" w:space="0" w:color="000000"/>
              <w:bottom w:val="nil"/>
              <w:right w:val="single" w:sz="4" w:space="0" w:color="000000"/>
            </w:tcBorders>
            <w:vAlign w:val="center"/>
          </w:tcPr>
          <w:p w14:paraId="3F238B03"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single" w:sz="4" w:space="0" w:color="000000"/>
              <w:left w:val="single" w:sz="4" w:space="0" w:color="000000"/>
              <w:bottom w:val="nil"/>
              <w:right w:val="single" w:sz="4" w:space="0" w:color="000000"/>
            </w:tcBorders>
            <w:vAlign w:val="center"/>
          </w:tcPr>
          <w:p w14:paraId="5198D478"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single" w:sz="4" w:space="0" w:color="000000"/>
              <w:left w:val="single" w:sz="4" w:space="0" w:color="000000"/>
              <w:bottom w:val="nil"/>
              <w:right w:val="single" w:sz="4" w:space="0" w:color="000000"/>
            </w:tcBorders>
            <w:vAlign w:val="center"/>
          </w:tcPr>
          <w:p w14:paraId="6F1BEC63"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3E75AAD4" w14:textId="77777777">
        <w:trPr>
          <w:jc w:val="center"/>
        </w:trPr>
        <w:tc>
          <w:tcPr>
            <w:tcW w:w="7236" w:type="dxa"/>
            <w:vMerge/>
            <w:tcBorders>
              <w:top w:val="single" w:sz="4" w:space="0" w:color="000000"/>
              <w:left w:val="single" w:sz="4" w:space="0" w:color="000000"/>
              <w:right w:val="single" w:sz="4" w:space="0" w:color="000000"/>
            </w:tcBorders>
            <w:vAlign w:val="center"/>
          </w:tcPr>
          <w:p w14:paraId="02A0DE71"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14:paraId="708255F0"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14:paraId="5327BD91"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14:paraId="36A04B4D"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4FF2668E" w14:textId="77777777">
        <w:trPr>
          <w:jc w:val="center"/>
        </w:trPr>
        <w:tc>
          <w:tcPr>
            <w:tcW w:w="7236" w:type="dxa"/>
            <w:vMerge/>
            <w:tcBorders>
              <w:top w:val="single" w:sz="4" w:space="0" w:color="000000"/>
              <w:left w:val="single" w:sz="4" w:space="0" w:color="000000"/>
              <w:right w:val="single" w:sz="4" w:space="0" w:color="000000"/>
            </w:tcBorders>
            <w:vAlign w:val="center"/>
          </w:tcPr>
          <w:p w14:paraId="43276966"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14:paraId="5A03347C"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14:paraId="48016F5C"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14:paraId="7A19EEFD"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69058D2C" w14:textId="77777777">
        <w:trPr>
          <w:jc w:val="center"/>
        </w:trPr>
        <w:tc>
          <w:tcPr>
            <w:tcW w:w="7236" w:type="dxa"/>
            <w:vMerge/>
            <w:tcBorders>
              <w:top w:val="single" w:sz="4" w:space="0" w:color="000000"/>
              <w:left w:val="single" w:sz="4" w:space="0" w:color="000000"/>
              <w:right w:val="single" w:sz="4" w:space="0" w:color="000000"/>
            </w:tcBorders>
            <w:vAlign w:val="center"/>
          </w:tcPr>
          <w:p w14:paraId="21553F29"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14:paraId="5E64DF1C"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14:paraId="5ED01F7E"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14:paraId="71551B4F"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5A3CC81A" w14:textId="77777777">
        <w:trPr>
          <w:jc w:val="center"/>
        </w:trPr>
        <w:tc>
          <w:tcPr>
            <w:tcW w:w="7236" w:type="dxa"/>
            <w:vMerge/>
            <w:tcBorders>
              <w:top w:val="single" w:sz="4" w:space="0" w:color="000000"/>
              <w:left w:val="single" w:sz="4" w:space="0" w:color="000000"/>
              <w:right w:val="single" w:sz="4" w:space="0" w:color="000000"/>
            </w:tcBorders>
            <w:vAlign w:val="center"/>
          </w:tcPr>
          <w:p w14:paraId="1505CB58"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14:paraId="1A56BA33"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14:paraId="0C31F818"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14:paraId="740761B8"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10E28367" w14:textId="77777777">
        <w:trPr>
          <w:jc w:val="center"/>
        </w:trPr>
        <w:tc>
          <w:tcPr>
            <w:tcW w:w="7236" w:type="dxa"/>
            <w:vMerge/>
            <w:tcBorders>
              <w:top w:val="single" w:sz="4" w:space="0" w:color="000000"/>
              <w:left w:val="single" w:sz="4" w:space="0" w:color="000000"/>
              <w:right w:val="single" w:sz="4" w:space="0" w:color="000000"/>
            </w:tcBorders>
            <w:vAlign w:val="center"/>
          </w:tcPr>
          <w:p w14:paraId="68D57BD0"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14:paraId="60FBC9C1"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14:paraId="3677E03C"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14:paraId="2FE21F96"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1CC8F5A9" w14:textId="77777777">
        <w:trPr>
          <w:jc w:val="center"/>
        </w:trPr>
        <w:tc>
          <w:tcPr>
            <w:tcW w:w="7236" w:type="dxa"/>
            <w:vMerge/>
            <w:tcBorders>
              <w:top w:val="single" w:sz="4" w:space="0" w:color="000000"/>
              <w:left w:val="single" w:sz="4" w:space="0" w:color="000000"/>
              <w:right w:val="single" w:sz="4" w:space="0" w:color="000000"/>
            </w:tcBorders>
            <w:vAlign w:val="center"/>
          </w:tcPr>
          <w:p w14:paraId="5CD7CBF3"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14:paraId="5DB818B2"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14:paraId="7A984252"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14:paraId="3E3545F1"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09BCD2FA" w14:textId="77777777">
        <w:trPr>
          <w:jc w:val="center"/>
        </w:trPr>
        <w:tc>
          <w:tcPr>
            <w:tcW w:w="7236" w:type="dxa"/>
            <w:vMerge/>
            <w:tcBorders>
              <w:top w:val="single" w:sz="4" w:space="0" w:color="000000"/>
              <w:left w:val="single" w:sz="4" w:space="0" w:color="000000"/>
              <w:right w:val="single" w:sz="4" w:space="0" w:color="000000"/>
            </w:tcBorders>
            <w:vAlign w:val="center"/>
          </w:tcPr>
          <w:p w14:paraId="64851654"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14:paraId="60B68EB9"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14:paraId="568E32DC"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14:paraId="28421217"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2D49BC51" w14:textId="77777777">
        <w:trPr>
          <w:jc w:val="center"/>
        </w:trPr>
        <w:tc>
          <w:tcPr>
            <w:tcW w:w="7236" w:type="dxa"/>
            <w:vMerge/>
            <w:tcBorders>
              <w:top w:val="single" w:sz="4" w:space="0" w:color="000000"/>
              <w:left w:val="single" w:sz="4" w:space="0" w:color="000000"/>
              <w:right w:val="single" w:sz="4" w:space="0" w:color="000000"/>
            </w:tcBorders>
            <w:vAlign w:val="center"/>
          </w:tcPr>
          <w:p w14:paraId="2BF67366"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single" w:sz="4" w:space="0" w:color="000000"/>
              <w:right w:val="single" w:sz="4" w:space="0" w:color="000000"/>
            </w:tcBorders>
            <w:vAlign w:val="center"/>
          </w:tcPr>
          <w:p w14:paraId="28B5DAD6"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single" w:sz="4" w:space="0" w:color="000000"/>
              <w:right w:val="single" w:sz="4" w:space="0" w:color="000000"/>
            </w:tcBorders>
            <w:vAlign w:val="center"/>
          </w:tcPr>
          <w:p w14:paraId="639901DB"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single" w:sz="4" w:space="0" w:color="000000"/>
              <w:right w:val="single" w:sz="4" w:space="0" w:color="000000"/>
            </w:tcBorders>
            <w:vAlign w:val="center"/>
          </w:tcPr>
          <w:p w14:paraId="7FE91EA6"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6CDD55E4" w14:textId="77777777">
        <w:trPr>
          <w:jc w:val="center"/>
        </w:trPr>
        <w:tc>
          <w:tcPr>
            <w:tcW w:w="7236" w:type="dxa"/>
            <w:vMerge w:val="restart"/>
            <w:tcBorders>
              <w:top w:val="single" w:sz="4" w:space="0" w:color="000000"/>
              <w:left w:val="single" w:sz="4" w:space="0" w:color="000000"/>
              <w:right w:val="single" w:sz="4" w:space="0" w:color="000000"/>
            </w:tcBorders>
            <w:vAlign w:val="center"/>
          </w:tcPr>
          <w:p w14:paraId="00CA4C91" w14:textId="77777777" w:rsidR="00B57D68" w:rsidRDefault="00B57D68">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p>
          <w:p w14:paraId="6BE801AF"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D) a coloro che, per un triennio, a decorrere dalle operazioni di mobilità per </w:t>
            </w:r>
            <w:proofErr w:type="spellStart"/>
            <w:r>
              <w:rPr>
                <w:rFonts w:ascii="Times New Roman" w:eastAsia="Times New Roman" w:hAnsi="Times New Roman" w:cs="Times New Roman"/>
                <w:color w:val="000000"/>
                <w:sz w:val="18"/>
                <w:szCs w:val="18"/>
              </w:rPr>
              <w:t>l'a.s.</w:t>
            </w:r>
            <w:proofErr w:type="spellEnd"/>
            <w:r>
              <w:rPr>
                <w:rFonts w:ascii="Times New Roman" w:eastAsia="Times New Roman" w:hAnsi="Times New Roman" w:cs="Times New Roman"/>
                <w:color w:val="000000"/>
                <w:sz w:val="18"/>
                <w:szCs w:val="18"/>
              </w:rPr>
              <w:t xml:space="preserve"> 2000/2001 e fino </w:t>
            </w:r>
            <w:proofErr w:type="spellStart"/>
            <w:r>
              <w:rPr>
                <w:rFonts w:ascii="Times New Roman" w:eastAsia="Times New Roman" w:hAnsi="Times New Roman" w:cs="Times New Roman"/>
                <w:color w:val="000000"/>
                <w:sz w:val="18"/>
                <w:szCs w:val="18"/>
              </w:rPr>
              <w:t>all'a.s.</w:t>
            </w:r>
            <w:proofErr w:type="spellEnd"/>
            <w:r>
              <w:rPr>
                <w:rFonts w:ascii="Times New Roman" w:eastAsia="Times New Roman" w:hAnsi="Times New Roman" w:cs="Times New Roman"/>
                <w:color w:val="000000"/>
                <w:sz w:val="18"/>
                <w:szCs w:val="18"/>
              </w:rPr>
              <w:t xml:space="preserve"> 2007/2008, non abbiano presentato domanda di trasferimento provinciale o passaggio </w:t>
            </w:r>
            <w:r>
              <w:rPr>
                <w:rFonts w:ascii="Times New Roman" w:eastAsia="Times New Roman" w:hAnsi="Times New Roman" w:cs="Times New Roman"/>
                <w:color w:val="000000"/>
                <w:sz w:val="18"/>
                <w:szCs w:val="18"/>
              </w:rPr>
              <w:lastRenderedPageBreak/>
              <w:t>provinciale o, pur avendo presentato domanda, l'abbiano revocata nei termini previsti, è riconosciuto, per il predetto triennio, una tantum, un punteggio aggiuntivo di (5</w:t>
            </w:r>
            <w:proofErr w:type="gramStart"/>
            <w:r>
              <w:rPr>
                <w:rFonts w:ascii="Times New Roman" w:eastAsia="Times New Roman" w:hAnsi="Times New Roman" w:cs="Times New Roman"/>
                <w:color w:val="000000"/>
                <w:sz w:val="18"/>
                <w:szCs w:val="18"/>
              </w:rPr>
              <w:t xml:space="preserve">ter)   </w:t>
            </w:r>
            <w:proofErr w:type="gramEnd"/>
            <w:r>
              <w:rPr>
                <w:rFonts w:ascii="Times New Roman" w:eastAsia="Times New Roman" w:hAnsi="Times New Roman" w:cs="Times New Roman"/>
                <w:color w:val="000000"/>
                <w:sz w:val="18"/>
                <w:szCs w:val="18"/>
              </w:rPr>
              <w:t xml:space="preserve">        (Punti 10) </w:t>
            </w:r>
          </w:p>
        </w:tc>
        <w:tc>
          <w:tcPr>
            <w:tcW w:w="537" w:type="dxa"/>
            <w:tcBorders>
              <w:top w:val="single" w:sz="4" w:space="0" w:color="000000"/>
              <w:left w:val="single" w:sz="4" w:space="0" w:color="000000"/>
              <w:bottom w:val="nil"/>
              <w:right w:val="single" w:sz="4" w:space="0" w:color="000000"/>
            </w:tcBorders>
            <w:vAlign w:val="center"/>
          </w:tcPr>
          <w:p w14:paraId="3E957A75"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single" w:sz="4" w:space="0" w:color="000000"/>
              <w:left w:val="single" w:sz="4" w:space="0" w:color="000000"/>
              <w:bottom w:val="nil"/>
              <w:right w:val="single" w:sz="4" w:space="0" w:color="000000"/>
            </w:tcBorders>
            <w:vAlign w:val="center"/>
          </w:tcPr>
          <w:p w14:paraId="07879E78"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single" w:sz="4" w:space="0" w:color="000000"/>
              <w:left w:val="single" w:sz="4" w:space="0" w:color="000000"/>
              <w:bottom w:val="nil"/>
              <w:right w:val="single" w:sz="4" w:space="0" w:color="000000"/>
            </w:tcBorders>
            <w:vAlign w:val="center"/>
          </w:tcPr>
          <w:p w14:paraId="78D70B67"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0C3782F3" w14:textId="77777777">
        <w:trPr>
          <w:jc w:val="center"/>
        </w:trPr>
        <w:tc>
          <w:tcPr>
            <w:tcW w:w="7236" w:type="dxa"/>
            <w:vMerge/>
            <w:tcBorders>
              <w:top w:val="single" w:sz="4" w:space="0" w:color="000000"/>
              <w:left w:val="single" w:sz="4" w:space="0" w:color="000000"/>
              <w:right w:val="single" w:sz="4" w:space="0" w:color="000000"/>
            </w:tcBorders>
            <w:vAlign w:val="center"/>
          </w:tcPr>
          <w:p w14:paraId="02350631"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14:paraId="473B2ABE"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14:paraId="43E3838E"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14:paraId="0A3AC8D6"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58C8FCB7" w14:textId="77777777">
        <w:trPr>
          <w:jc w:val="center"/>
        </w:trPr>
        <w:tc>
          <w:tcPr>
            <w:tcW w:w="7236" w:type="dxa"/>
            <w:vMerge/>
            <w:tcBorders>
              <w:top w:val="single" w:sz="4" w:space="0" w:color="000000"/>
              <w:left w:val="single" w:sz="4" w:space="0" w:color="000000"/>
              <w:right w:val="single" w:sz="4" w:space="0" w:color="000000"/>
            </w:tcBorders>
            <w:vAlign w:val="center"/>
          </w:tcPr>
          <w:p w14:paraId="48A76983"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14:paraId="59879A22"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14:paraId="4230F87F"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14:paraId="6BB9FA6C"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45761296" w14:textId="77777777">
        <w:trPr>
          <w:jc w:val="center"/>
        </w:trPr>
        <w:tc>
          <w:tcPr>
            <w:tcW w:w="7236" w:type="dxa"/>
            <w:vMerge/>
            <w:tcBorders>
              <w:top w:val="single" w:sz="4" w:space="0" w:color="000000"/>
              <w:left w:val="single" w:sz="4" w:space="0" w:color="000000"/>
              <w:right w:val="single" w:sz="4" w:space="0" w:color="000000"/>
            </w:tcBorders>
            <w:vAlign w:val="center"/>
          </w:tcPr>
          <w:p w14:paraId="3193DF82"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14:paraId="10F24EB4"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14:paraId="3AC20604"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14:paraId="406D8AE4"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584F4A76" w14:textId="77777777">
        <w:trPr>
          <w:jc w:val="center"/>
        </w:trPr>
        <w:tc>
          <w:tcPr>
            <w:tcW w:w="7236" w:type="dxa"/>
            <w:vMerge/>
            <w:tcBorders>
              <w:top w:val="single" w:sz="4" w:space="0" w:color="000000"/>
              <w:left w:val="single" w:sz="4" w:space="0" w:color="000000"/>
              <w:right w:val="single" w:sz="4" w:space="0" w:color="000000"/>
            </w:tcBorders>
            <w:vAlign w:val="center"/>
          </w:tcPr>
          <w:p w14:paraId="5DB3E273" w14:textId="77777777"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14:paraId="59034D70"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14:paraId="6EBE9E99"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14:paraId="21D7366A"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6040F71F" w14:textId="77777777">
        <w:trPr>
          <w:jc w:val="center"/>
        </w:trPr>
        <w:tc>
          <w:tcPr>
            <w:tcW w:w="7236" w:type="dxa"/>
            <w:tcBorders>
              <w:left w:val="single" w:sz="4" w:space="0" w:color="000000"/>
              <w:bottom w:val="single" w:sz="4" w:space="0" w:color="000000"/>
              <w:right w:val="single" w:sz="4" w:space="0" w:color="000000"/>
            </w:tcBorders>
            <w:vAlign w:val="center"/>
          </w:tcPr>
          <w:p w14:paraId="74E8756B"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537" w:type="dxa"/>
            <w:tcBorders>
              <w:top w:val="nil"/>
              <w:left w:val="single" w:sz="4" w:space="0" w:color="000000"/>
              <w:bottom w:val="single" w:sz="4" w:space="0" w:color="000000"/>
              <w:right w:val="single" w:sz="4" w:space="0" w:color="000000"/>
            </w:tcBorders>
            <w:vAlign w:val="center"/>
          </w:tcPr>
          <w:p w14:paraId="14ED80EF"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single" w:sz="4" w:space="0" w:color="000000"/>
              <w:right w:val="single" w:sz="4" w:space="0" w:color="000000"/>
            </w:tcBorders>
            <w:vAlign w:val="center"/>
          </w:tcPr>
          <w:p w14:paraId="76781C6D"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single" w:sz="4" w:space="0" w:color="000000"/>
              <w:right w:val="single" w:sz="4" w:space="0" w:color="000000"/>
            </w:tcBorders>
            <w:vAlign w:val="center"/>
          </w:tcPr>
          <w:p w14:paraId="78E76600"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bl>
    <w:p w14:paraId="37555A78"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II - ESIGENZE DI FAMIGLIA (6) (7):</w:t>
      </w:r>
    </w:p>
    <w:tbl>
      <w:tblPr>
        <w:tblStyle w:val="a0"/>
        <w:tblW w:w="96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93"/>
        <w:gridCol w:w="1274"/>
        <w:gridCol w:w="1181"/>
      </w:tblGrid>
      <w:tr w:rsidR="00171DE6" w14:paraId="722ABEA8" w14:textId="77777777">
        <w:trPr>
          <w:trHeight w:val="489"/>
        </w:trPr>
        <w:tc>
          <w:tcPr>
            <w:tcW w:w="7193" w:type="dxa"/>
            <w:vAlign w:val="center"/>
          </w:tcPr>
          <w:p w14:paraId="607C913F" w14:textId="77777777" w:rsidR="00171DE6" w:rsidRDefault="00BF7655">
            <w:pPr>
              <w:pStyle w:val="Normale1"/>
              <w:widowControl w:val="0"/>
              <w:pBdr>
                <w:top w:val="nil"/>
                <w:left w:val="nil"/>
                <w:bottom w:val="nil"/>
                <w:right w:val="nil"/>
                <w:between w:val="nil"/>
              </w:pBdr>
              <w:jc w:val="center"/>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18"/>
                <w:szCs w:val="18"/>
              </w:rPr>
              <w:t xml:space="preserve">Tipo di esigenza </w:t>
            </w:r>
          </w:p>
        </w:tc>
        <w:tc>
          <w:tcPr>
            <w:tcW w:w="1274" w:type="dxa"/>
            <w:vAlign w:val="center"/>
          </w:tcPr>
          <w:p w14:paraId="25DD0E0E" w14:textId="77777777" w:rsidR="00171DE6" w:rsidRDefault="00BF7655">
            <w:pPr>
              <w:pStyle w:val="Normale1"/>
              <w:widowControl w:val="0"/>
              <w:pBdr>
                <w:top w:val="nil"/>
                <w:left w:val="nil"/>
                <w:bottom w:val="nil"/>
                <w:right w:val="nil"/>
                <w:between w:val="nil"/>
              </w:pBdr>
              <w:ind w:left="81"/>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Punti </w:t>
            </w:r>
          </w:p>
        </w:tc>
        <w:tc>
          <w:tcPr>
            <w:tcW w:w="1181" w:type="dxa"/>
            <w:vAlign w:val="center"/>
          </w:tcPr>
          <w:p w14:paraId="2C7105B4" w14:textId="77777777" w:rsidR="00171DE6" w:rsidRDefault="00BF7655">
            <w:pPr>
              <w:pStyle w:val="Normale1"/>
              <w:widowControl w:val="0"/>
              <w:pBdr>
                <w:top w:val="nil"/>
                <w:left w:val="nil"/>
                <w:bottom w:val="nil"/>
                <w:right w:val="nil"/>
                <w:between w:val="nil"/>
              </w:pBdr>
              <w:ind w:left="48"/>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Riservato al </w:t>
            </w:r>
          </w:p>
          <w:p w14:paraId="06F4A356" w14:textId="77777777" w:rsidR="00171DE6" w:rsidRDefault="00BF7655">
            <w:pPr>
              <w:pStyle w:val="Normale1"/>
              <w:widowControl w:val="0"/>
              <w:pBdr>
                <w:top w:val="nil"/>
                <w:left w:val="nil"/>
                <w:bottom w:val="nil"/>
                <w:right w:val="nil"/>
                <w:between w:val="nil"/>
              </w:pBdr>
              <w:ind w:left="48"/>
              <w:jc w:val="center"/>
              <w:rPr>
                <w:rFonts w:ascii="Times New Roman" w:eastAsia="Times New Roman" w:hAnsi="Times New Roman" w:cs="Times New Roman"/>
                <w:color w:val="000000"/>
                <w:sz w:val="18"/>
                <w:szCs w:val="18"/>
              </w:rPr>
            </w:pPr>
            <w:proofErr w:type="spellStart"/>
            <w:r>
              <w:rPr>
                <w:rFonts w:ascii="Times New Roman" w:eastAsia="Times New Roman" w:hAnsi="Times New Roman" w:cs="Times New Roman"/>
                <w:color w:val="000000"/>
                <w:sz w:val="18"/>
                <w:szCs w:val="18"/>
              </w:rPr>
              <w:t>Dir.Scol</w:t>
            </w:r>
            <w:proofErr w:type="spellEnd"/>
            <w:r>
              <w:rPr>
                <w:rFonts w:ascii="Times New Roman" w:eastAsia="Times New Roman" w:hAnsi="Times New Roman" w:cs="Times New Roman"/>
                <w:color w:val="000000"/>
                <w:sz w:val="18"/>
                <w:szCs w:val="18"/>
              </w:rPr>
              <w:t xml:space="preserve">. </w:t>
            </w:r>
          </w:p>
        </w:tc>
      </w:tr>
      <w:tr w:rsidR="00171DE6" w14:paraId="1B0B7A83" w14:textId="77777777">
        <w:trPr>
          <w:trHeight w:val="671"/>
        </w:trPr>
        <w:tc>
          <w:tcPr>
            <w:tcW w:w="7193" w:type="dxa"/>
            <w:vAlign w:val="center"/>
          </w:tcPr>
          <w:p w14:paraId="6CE11782"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A) per ricongiungimento al coniuge ovvero, nel caso di docenti senza coniuge o separati giudizialmente o consensualmente con atto omologato </w:t>
            </w:r>
            <w:proofErr w:type="gramStart"/>
            <w:r>
              <w:rPr>
                <w:rFonts w:ascii="Times New Roman" w:eastAsia="Times New Roman" w:hAnsi="Times New Roman" w:cs="Times New Roman"/>
                <w:color w:val="000000"/>
                <w:sz w:val="18"/>
                <w:szCs w:val="18"/>
              </w:rPr>
              <w:t>dal  tribunale</w:t>
            </w:r>
            <w:proofErr w:type="gramEnd"/>
            <w:r>
              <w:rPr>
                <w:rFonts w:ascii="Times New Roman" w:eastAsia="Times New Roman" w:hAnsi="Times New Roman" w:cs="Times New Roman"/>
                <w:color w:val="000000"/>
                <w:sz w:val="18"/>
                <w:szCs w:val="18"/>
              </w:rPr>
              <w:t>, per ricongiungimento  ai genitori o ai figli (7)                                                                                                                (Punti 6)</w:t>
            </w:r>
          </w:p>
        </w:tc>
        <w:tc>
          <w:tcPr>
            <w:tcW w:w="1274" w:type="dxa"/>
            <w:vAlign w:val="center"/>
          </w:tcPr>
          <w:p w14:paraId="124FC666"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181" w:type="dxa"/>
            <w:vAlign w:val="center"/>
          </w:tcPr>
          <w:p w14:paraId="197AE763"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480BFAD7" w14:textId="77777777">
        <w:trPr>
          <w:trHeight w:val="240"/>
        </w:trPr>
        <w:tc>
          <w:tcPr>
            <w:tcW w:w="7193" w:type="dxa"/>
            <w:vAlign w:val="center"/>
          </w:tcPr>
          <w:p w14:paraId="2267BA40"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B) per ogni figlio di età inferiore a sei anni (8)                                                                   </w:t>
            </w:r>
            <w:proofErr w:type="gramStart"/>
            <w:r>
              <w:rPr>
                <w:rFonts w:ascii="Times New Roman" w:eastAsia="Times New Roman" w:hAnsi="Times New Roman" w:cs="Times New Roman"/>
                <w:color w:val="000000"/>
                <w:sz w:val="18"/>
                <w:szCs w:val="18"/>
              </w:rPr>
              <w:t xml:space="preserve">   (</w:t>
            </w:r>
            <w:proofErr w:type="gramEnd"/>
            <w:r>
              <w:rPr>
                <w:rFonts w:ascii="Times New Roman" w:eastAsia="Times New Roman" w:hAnsi="Times New Roman" w:cs="Times New Roman"/>
                <w:color w:val="000000"/>
                <w:sz w:val="18"/>
                <w:szCs w:val="18"/>
              </w:rPr>
              <w:t xml:space="preserve">Punti 4) </w:t>
            </w:r>
          </w:p>
        </w:tc>
        <w:tc>
          <w:tcPr>
            <w:tcW w:w="1274" w:type="dxa"/>
            <w:vAlign w:val="center"/>
          </w:tcPr>
          <w:p w14:paraId="0060E7BF"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181" w:type="dxa"/>
            <w:vAlign w:val="center"/>
          </w:tcPr>
          <w:p w14:paraId="20A72A3C"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7368340B" w14:textId="77777777">
        <w:trPr>
          <w:trHeight w:val="700"/>
        </w:trPr>
        <w:tc>
          <w:tcPr>
            <w:tcW w:w="7193" w:type="dxa"/>
            <w:vAlign w:val="center"/>
          </w:tcPr>
          <w:p w14:paraId="0EA2F76E"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C) per ogni figlio di età superiore ai sei anni, ma che non abbia superato il </w:t>
            </w:r>
            <w:proofErr w:type="gramStart"/>
            <w:r>
              <w:rPr>
                <w:rFonts w:ascii="Times New Roman" w:eastAsia="Times New Roman" w:hAnsi="Times New Roman" w:cs="Times New Roman"/>
                <w:color w:val="000000"/>
                <w:sz w:val="18"/>
                <w:szCs w:val="18"/>
              </w:rPr>
              <w:t>diciottesimo  anno</w:t>
            </w:r>
            <w:proofErr w:type="gramEnd"/>
            <w:r>
              <w:rPr>
                <w:rFonts w:ascii="Times New Roman" w:eastAsia="Times New Roman" w:hAnsi="Times New Roman" w:cs="Times New Roman"/>
                <w:color w:val="000000"/>
                <w:sz w:val="18"/>
                <w:szCs w:val="18"/>
              </w:rPr>
              <w:t xml:space="preserve"> di età (8) ovvero per ogni figlio maggiorenne che risulti totalmente o permanentemente  inabile a proficuo lavoro)                                                                                                                      (Punti 3) </w:t>
            </w:r>
          </w:p>
        </w:tc>
        <w:tc>
          <w:tcPr>
            <w:tcW w:w="1274" w:type="dxa"/>
            <w:vAlign w:val="center"/>
          </w:tcPr>
          <w:p w14:paraId="1CFAEAF7"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181" w:type="dxa"/>
            <w:vAlign w:val="center"/>
          </w:tcPr>
          <w:p w14:paraId="6114BB74"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36D9781A" w14:textId="77777777">
        <w:trPr>
          <w:trHeight w:val="695"/>
        </w:trPr>
        <w:tc>
          <w:tcPr>
            <w:tcW w:w="7193" w:type="dxa"/>
            <w:vAlign w:val="center"/>
          </w:tcPr>
          <w:p w14:paraId="7FA18134"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D) per la cura e l'assistenza dei figli minorati fisici, psichici o sensoriali, </w:t>
            </w:r>
            <w:proofErr w:type="gramStart"/>
            <w:r>
              <w:rPr>
                <w:rFonts w:ascii="Times New Roman" w:eastAsia="Times New Roman" w:hAnsi="Times New Roman" w:cs="Times New Roman"/>
                <w:color w:val="000000"/>
                <w:sz w:val="18"/>
                <w:szCs w:val="18"/>
              </w:rPr>
              <w:t>tossicodipendenti,  ovvero</w:t>
            </w:r>
            <w:proofErr w:type="gramEnd"/>
            <w:r>
              <w:rPr>
                <w:rFonts w:ascii="Times New Roman" w:eastAsia="Times New Roman" w:hAnsi="Times New Roman" w:cs="Times New Roman"/>
                <w:color w:val="000000"/>
                <w:sz w:val="18"/>
                <w:szCs w:val="18"/>
              </w:rPr>
              <w:t xml:space="preserve"> del coniuge o del genitore totalmente e permanentemente inabili al lavoro  che  possono essere assistiti soltanto nel comune richiesto (9)                                                                               (Punti 6) </w:t>
            </w:r>
          </w:p>
        </w:tc>
        <w:tc>
          <w:tcPr>
            <w:tcW w:w="1274" w:type="dxa"/>
            <w:vAlign w:val="center"/>
          </w:tcPr>
          <w:p w14:paraId="71E6A7CA"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181" w:type="dxa"/>
            <w:vAlign w:val="center"/>
          </w:tcPr>
          <w:p w14:paraId="38BFF2FC"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bl>
    <w:p w14:paraId="4FE14D05" w14:textId="77777777" w:rsidR="00171DE6" w:rsidRDefault="00171DE6">
      <w:pPr>
        <w:pStyle w:val="Normale1"/>
        <w:widowControl w:val="0"/>
        <w:pBdr>
          <w:top w:val="nil"/>
          <w:left w:val="nil"/>
          <w:bottom w:val="nil"/>
          <w:right w:val="nil"/>
          <w:between w:val="nil"/>
        </w:pBdr>
        <w:rPr>
          <w:rFonts w:ascii="Times New Roman" w:eastAsia="Times New Roman" w:hAnsi="Times New Roman" w:cs="Times New Roman"/>
          <w:color w:val="000000"/>
        </w:rPr>
      </w:pPr>
    </w:p>
    <w:p w14:paraId="11548EEA"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III - TITOLI GENERALI (15):</w:t>
      </w:r>
    </w:p>
    <w:tbl>
      <w:tblPr>
        <w:tblStyle w:val="a1"/>
        <w:tblW w:w="96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62"/>
        <w:gridCol w:w="662"/>
        <w:gridCol w:w="924"/>
      </w:tblGrid>
      <w:tr w:rsidR="00171DE6" w14:paraId="6AFA7146" w14:textId="77777777">
        <w:trPr>
          <w:trHeight w:val="604"/>
        </w:trPr>
        <w:tc>
          <w:tcPr>
            <w:tcW w:w="8062" w:type="dxa"/>
            <w:vAlign w:val="center"/>
          </w:tcPr>
          <w:p w14:paraId="73FB4F2B" w14:textId="77777777" w:rsidR="00171DE6" w:rsidRDefault="00BF7655">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Tipo di titolo </w:t>
            </w:r>
          </w:p>
        </w:tc>
        <w:tc>
          <w:tcPr>
            <w:tcW w:w="662" w:type="dxa"/>
            <w:vAlign w:val="center"/>
          </w:tcPr>
          <w:p w14:paraId="0B190C40" w14:textId="77777777" w:rsidR="00171DE6" w:rsidRDefault="00BF7655">
            <w:pPr>
              <w:pStyle w:val="Normale1"/>
              <w:widowControl w:val="0"/>
              <w:pBdr>
                <w:top w:val="nil"/>
                <w:left w:val="nil"/>
                <w:bottom w:val="nil"/>
                <w:right w:val="nil"/>
                <w:between w:val="nil"/>
              </w:pBdr>
              <w:ind w:left="86"/>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Punti </w:t>
            </w:r>
          </w:p>
        </w:tc>
        <w:tc>
          <w:tcPr>
            <w:tcW w:w="924" w:type="dxa"/>
            <w:vAlign w:val="center"/>
          </w:tcPr>
          <w:p w14:paraId="5AF7AED1" w14:textId="77777777" w:rsidR="00171DE6" w:rsidRDefault="00BF7655">
            <w:pPr>
              <w:pStyle w:val="Normale1"/>
              <w:widowControl w:val="0"/>
              <w:pBdr>
                <w:top w:val="nil"/>
                <w:left w:val="nil"/>
                <w:bottom w:val="nil"/>
                <w:right w:val="nil"/>
                <w:between w:val="nil"/>
              </w:pBdr>
              <w:ind w:left="48"/>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Riservato </w:t>
            </w:r>
            <w:proofErr w:type="gramStart"/>
            <w:r>
              <w:rPr>
                <w:rFonts w:ascii="Times New Roman" w:eastAsia="Times New Roman" w:hAnsi="Times New Roman" w:cs="Times New Roman"/>
                <w:color w:val="000000"/>
                <w:sz w:val="18"/>
                <w:szCs w:val="18"/>
              </w:rPr>
              <w:t xml:space="preserve">al  </w:t>
            </w:r>
            <w:proofErr w:type="spellStart"/>
            <w:r>
              <w:rPr>
                <w:rFonts w:ascii="Times New Roman" w:eastAsia="Times New Roman" w:hAnsi="Times New Roman" w:cs="Times New Roman"/>
                <w:color w:val="000000"/>
                <w:sz w:val="18"/>
                <w:szCs w:val="18"/>
              </w:rPr>
              <w:t>Dir.Scol</w:t>
            </w:r>
            <w:proofErr w:type="spellEnd"/>
            <w:proofErr w:type="gramEnd"/>
            <w:r>
              <w:rPr>
                <w:rFonts w:ascii="Times New Roman" w:eastAsia="Times New Roman" w:hAnsi="Times New Roman" w:cs="Times New Roman"/>
                <w:color w:val="000000"/>
                <w:sz w:val="18"/>
                <w:szCs w:val="18"/>
              </w:rPr>
              <w:t xml:space="preserve">. </w:t>
            </w:r>
          </w:p>
        </w:tc>
      </w:tr>
      <w:tr w:rsidR="00171DE6" w14:paraId="78E88AFC" w14:textId="77777777">
        <w:trPr>
          <w:trHeight w:val="705"/>
        </w:trPr>
        <w:tc>
          <w:tcPr>
            <w:tcW w:w="8062" w:type="dxa"/>
            <w:vAlign w:val="center"/>
          </w:tcPr>
          <w:p w14:paraId="24D8731B"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A) per il superamento di un pubblico concorso ordinario per esami e titoli, per l'accesso </w:t>
            </w:r>
            <w:proofErr w:type="gramStart"/>
            <w:r>
              <w:rPr>
                <w:rFonts w:ascii="Times New Roman" w:eastAsia="Times New Roman" w:hAnsi="Times New Roman" w:cs="Times New Roman"/>
                <w:color w:val="000000"/>
                <w:sz w:val="18"/>
                <w:szCs w:val="18"/>
              </w:rPr>
              <w:t>al  ruolo</w:t>
            </w:r>
            <w:proofErr w:type="gramEnd"/>
            <w:r>
              <w:rPr>
                <w:rFonts w:ascii="Times New Roman" w:eastAsia="Times New Roman" w:hAnsi="Times New Roman" w:cs="Times New Roman"/>
                <w:color w:val="000000"/>
                <w:sz w:val="18"/>
                <w:szCs w:val="18"/>
              </w:rPr>
              <w:t xml:space="preserve"> di appartenenza (1), al momento della presentazione della domanda, o a ruoli di livello  pari o superiore a quello di appartenenza (10)                                                                                                              (Punti 12</w:t>
            </w:r>
            <w:r>
              <w:rPr>
                <w:rFonts w:ascii="Arial" w:eastAsia="Arial" w:hAnsi="Arial" w:cs="Arial"/>
                <w:color w:val="000000"/>
                <w:sz w:val="18"/>
                <w:szCs w:val="18"/>
              </w:rPr>
              <w:t xml:space="preserve">) </w:t>
            </w:r>
          </w:p>
        </w:tc>
        <w:tc>
          <w:tcPr>
            <w:tcW w:w="662" w:type="dxa"/>
            <w:vAlign w:val="center"/>
          </w:tcPr>
          <w:p w14:paraId="1EC4A336"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24" w:type="dxa"/>
            <w:vAlign w:val="center"/>
          </w:tcPr>
          <w:p w14:paraId="78B5FE45"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128F9C49" w14:textId="77777777">
        <w:trPr>
          <w:trHeight w:val="1840"/>
        </w:trPr>
        <w:tc>
          <w:tcPr>
            <w:tcW w:w="8062" w:type="dxa"/>
            <w:vAlign w:val="center"/>
          </w:tcPr>
          <w:p w14:paraId="0C28D15F"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B) per ogni diploma di specializzazione conseguito in corsi post-laurea previsti dagli </w:t>
            </w:r>
            <w:proofErr w:type="gramStart"/>
            <w:r>
              <w:rPr>
                <w:rFonts w:ascii="Times New Roman" w:eastAsia="Times New Roman" w:hAnsi="Times New Roman" w:cs="Times New Roman"/>
                <w:color w:val="000000"/>
                <w:sz w:val="18"/>
                <w:szCs w:val="18"/>
              </w:rPr>
              <w:t>statuti  ovvero</w:t>
            </w:r>
            <w:proofErr w:type="gramEnd"/>
            <w:r>
              <w:rPr>
                <w:rFonts w:ascii="Times New Roman" w:eastAsia="Times New Roman" w:hAnsi="Times New Roman" w:cs="Times New Roman"/>
                <w:color w:val="000000"/>
                <w:sz w:val="18"/>
                <w:szCs w:val="18"/>
              </w:rPr>
              <w:t xml:space="preserve"> dal D.P.R. n. 162/82, ovvero dalla legge n. 341/90 (artt. 4, 6, 8) ovvero dal decreto n.  509/99 attivati dalle università statali o libere ovvero da istituti universitari statali o </w:t>
            </w:r>
            <w:proofErr w:type="gramStart"/>
            <w:r>
              <w:rPr>
                <w:rFonts w:ascii="Times New Roman" w:eastAsia="Times New Roman" w:hAnsi="Times New Roman" w:cs="Times New Roman"/>
                <w:color w:val="000000"/>
                <w:sz w:val="18"/>
                <w:szCs w:val="18"/>
              </w:rPr>
              <w:t>pareggiati,  ovvero</w:t>
            </w:r>
            <w:proofErr w:type="gramEnd"/>
            <w:r>
              <w:rPr>
                <w:rFonts w:ascii="Times New Roman" w:eastAsia="Times New Roman" w:hAnsi="Times New Roman" w:cs="Times New Roman"/>
                <w:color w:val="000000"/>
                <w:sz w:val="18"/>
                <w:szCs w:val="18"/>
              </w:rPr>
              <w:t xml:space="preserve"> in corsi attivati da amministrazioni e/o istituti pubblici purché i titoli siano riconosciuti  equipollenti dai competenti organismi universitari (11) e (11 bis), ivi compresi gli istituti di  educazione fisica statali o pareggiati, nell'ambito delle scienze dell'educazione e/o nell'ambito  delle discipline attualmente insegnate dal docente</w:t>
            </w:r>
          </w:p>
          <w:p w14:paraId="14F4EBAD"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per ogni diploma                                                                                                                           </w:t>
            </w:r>
            <w:proofErr w:type="gramStart"/>
            <w:r>
              <w:rPr>
                <w:rFonts w:ascii="Times New Roman" w:eastAsia="Times New Roman" w:hAnsi="Times New Roman" w:cs="Times New Roman"/>
                <w:color w:val="000000"/>
                <w:sz w:val="18"/>
                <w:szCs w:val="18"/>
              </w:rPr>
              <w:t xml:space="preserve">   (</w:t>
            </w:r>
            <w:proofErr w:type="gramEnd"/>
            <w:r>
              <w:rPr>
                <w:rFonts w:ascii="Times New Roman" w:eastAsia="Times New Roman" w:hAnsi="Times New Roman" w:cs="Times New Roman"/>
                <w:color w:val="000000"/>
                <w:sz w:val="18"/>
                <w:szCs w:val="18"/>
              </w:rPr>
              <w:t xml:space="preserve">Punti 5)  </w:t>
            </w:r>
            <w:r>
              <w:rPr>
                <w:rFonts w:ascii="Times New Roman" w:eastAsia="Times New Roman" w:hAnsi="Times New Roman" w:cs="Times New Roman"/>
                <w:color w:val="000000"/>
                <w:sz w:val="18"/>
                <w:szCs w:val="18"/>
              </w:rPr>
              <w:br/>
              <w:t xml:space="preserve">(è valutabile un solo diploma, per lo stesso o gli stessi anni accademici o di corso) </w:t>
            </w:r>
          </w:p>
        </w:tc>
        <w:tc>
          <w:tcPr>
            <w:tcW w:w="662" w:type="dxa"/>
            <w:vAlign w:val="center"/>
          </w:tcPr>
          <w:p w14:paraId="13020E3D"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24" w:type="dxa"/>
            <w:vAlign w:val="center"/>
          </w:tcPr>
          <w:p w14:paraId="50E8EB16"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1DB8C62A" w14:textId="77777777">
        <w:trPr>
          <w:trHeight w:val="930"/>
        </w:trPr>
        <w:tc>
          <w:tcPr>
            <w:tcW w:w="8062" w:type="dxa"/>
            <w:vAlign w:val="center"/>
          </w:tcPr>
          <w:p w14:paraId="2A6B6893"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C) per ogni diploma universitario (diploma accademico di primo livello, laurea di </w:t>
            </w:r>
            <w:proofErr w:type="gramStart"/>
            <w:r>
              <w:rPr>
                <w:rFonts w:ascii="Times New Roman" w:eastAsia="Times New Roman" w:hAnsi="Times New Roman" w:cs="Times New Roman"/>
                <w:color w:val="000000"/>
                <w:sz w:val="18"/>
                <w:szCs w:val="18"/>
              </w:rPr>
              <w:t>primo  livello</w:t>
            </w:r>
            <w:proofErr w:type="gramEnd"/>
            <w:r>
              <w:rPr>
                <w:rFonts w:ascii="Times New Roman" w:eastAsia="Times New Roman" w:hAnsi="Times New Roman" w:cs="Times New Roman"/>
                <w:color w:val="000000"/>
                <w:sz w:val="18"/>
                <w:szCs w:val="18"/>
              </w:rPr>
              <w:t xml:space="preserve"> o breve o diploma Istituto Superiore di Educazione Fisica (ISEF)) o diploma di  accademia di belle arti o di conservatorio di musica, conseguito oltre al titolo di studio  attualmente necessario per l'accesso al ruolo di appartenenza (12)               (Punti 3) </w:t>
            </w:r>
          </w:p>
        </w:tc>
        <w:tc>
          <w:tcPr>
            <w:tcW w:w="662" w:type="dxa"/>
            <w:vAlign w:val="center"/>
          </w:tcPr>
          <w:p w14:paraId="759790E3"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24" w:type="dxa"/>
            <w:vAlign w:val="center"/>
          </w:tcPr>
          <w:p w14:paraId="529E4B3A"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3EEE6839" w14:textId="77777777">
        <w:trPr>
          <w:trHeight w:val="1620"/>
        </w:trPr>
        <w:tc>
          <w:tcPr>
            <w:tcW w:w="8062" w:type="dxa"/>
            <w:vAlign w:val="center"/>
          </w:tcPr>
          <w:p w14:paraId="549707C8"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D) per ogni corso di perfezionamento di durata non inferiore ad un anno, (13) previsto dagli  statuti ovvero dal D.P.R. n. 162/82, ovvero dalla legge n. 341/90 (artt. 4,6,8) ovvero dal  decreto n. 509/99, nonché per ogni master di 1 °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 </w:t>
            </w:r>
          </w:p>
          <w:p w14:paraId="41126B48" w14:textId="77777777" w:rsidR="00171DE6" w:rsidRDefault="00BF7655">
            <w:pPr>
              <w:pStyle w:val="Normale1"/>
              <w:widowControl w:val="0"/>
              <w:pBdr>
                <w:top w:val="nil"/>
                <w:left w:val="nil"/>
                <w:bottom w:val="nil"/>
                <w:right w:val="nil"/>
                <w:between w:val="nil"/>
              </w:pBdr>
              <w:rPr>
                <w:rFonts w:ascii="Arial" w:eastAsia="Arial" w:hAnsi="Arial" w:cs="Arial"/>
                <w:color w:val="000000"/>
                <w:sz w:val="18"/>
                <w:szCs w:val="18"/>
              </w:rPr>
            </w:pPr>
            <w:r>
              <w:rPr>
                <w:rFonts w:ascii="Times New Roman" w:eastAsia="Times New Roman" w:hAnsi="Times New Roman" w:cs="Times New Roman"/>
                <w:color w:val="000000"/>
                <w:sz w:val="18"/>
                <w:szCs w:val="18"/>
              </w:rPr>
              <w:t xml:space="preserve">- per ogni corso                                                                                                                                </w:t>
            </w:r>
            <w:proofErr w:type="gramStart"/>
            <w:r>
              <w:rPr>
                <w:rFonts w:ascii="Times New Roman" w:eastAsia="Times New Roman" w:hAnsi="Times New Roman" w:cs="Times New Roman"/>
                <w:color w:val="000000"/>
                <w:sz w:val="18"/>
                <w:szCs w:val="18"/>
              </w:rPr>
              <w:t xml:space="preserve">   (</w:t>
            </w:r>
            <w:proofErr w:type="gramEnd"/>
            <w:r>
              <w:rPr>
                <w:rFonts w:ascii="Times New Roman" w:eastAsia="Times New Roman" w:hAnsi="Times New Roman" w:cs="Times New Roman"/>
                <w:color w:val="000000"/>
                <w:sz w:val="18"/>
                <w:szCs w:val="18"/>
              </w:rPr>
              <w:t>Punti 1)</w:t>
            </w:r>
            <w:r>
              <w:rPr>
                <w:rFonts w:ascii="Arial" w:eastAsia="Arial" w:hAnsi="Arial" w:cs="Arial"/>
                <w:color w:val="000000"/>
                <w:sz w:val="18"/>
                <w:szCs w:val="18"/>
              </w:rPr>
              <w:t xml:space="preserve">  </w:t>
            </w:r>
          </w:p>
          <w:p w14:paraId="7AAA8B02"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(è valutabile un solo corso, per lo stesso o gli stessi anni accademici) </w:t>
            </w:r>
          </w:p>
        </w:tc>
        <w:tc>
          <w:tcPr>
            <w:tcW w:w="662" w:type="dxa"/>
            <w:vAlign w:val="center"/>
          </w:tcPr>
          <w:p w14:paraId="7BA3D478"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24" w:type="dxa"/>
            <w:vAlign w:val="center"/>
          </w:tcPr>
          <w:p w14:paraId="571AEC77"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0D6DFE60" w14:textId="77777777">
        <w:trPr>
          <w:trHeight w:val="959"/>
        </w:trPr>
        <w:tc>
          <w:tcPr>
            <w:tcW w:w="8062" w:type="dxa"/>
            <w:vAlign w:val="center"/>
          </w:tcPr>
          <w:p w14:paraId="5B212820"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E) per ogni diploma di laurea con corso di durata almeno quadriennale (ivi compreso </w:t>
            </w:r>
            <w:proofErr w:type="gramStart"/>
            <w:r>
              <w:rPr>
                <w:rFonts w:ascii="Times New Roman" w:eastAsia="Times New Roman" w:hAnsi="Times New Roman" w:cs="Times New Roman"/>
                <w:color w:val="000000"/>
                <w:sz w:val="18"/>
                <w:szCs w:val="18"/>
              </w:rPr>
              <w:t>il  diploma</w:t>
            </w:r>
            <w:proofErr w:type="gramEnd"/>
            <w:r>
              <w:rPr>
                <w:rFonts w:ascii="Times New Roman" w:eastAsia="Times New Roman" w:hAnsi="Times New Roman" w:cs="Times New Roman"/>
                <w:color w:val="000000"/>
                <w:sz w:val="18"/>
                <w:szCs w:val="18"/>
              </w:rPr>
              <w:t xml:space="preserve"> di laurea in scienze motorie), per ogni diploma di laurea magistrale (specialistica),  per ogni diploma accademico di secondo livello conseguito oltre al titolo di studio attualmente  necessario per l'accesso al ruolo di appartenenza (12)   (Punti 5) </w:t>
            </w:r>
          </w:p>
        </w:tc>
        <w:tc>
          <w:tcPr>
            <w:tcW w:w="662" w:type="dxa"/>
            <w:vAlign w:val="center"/>
          </w:tcPr>
          <w:p w14:paraId="220D302A"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24" w:type="dxa"/>
            <w:vAlign w:val="center"/>
          </w:tcPr>
          <w:p w14:paraId="6EFD7B3E"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1561C9C5" w14:textId="77777777">
        <w:trPr>
          <w:trHeight w:val="470"/>
        </w:trPr>
        <w:tc>
          <w:tcPr>
            <w:tcW w:w="8062" w:type="dxa"/>
            <w:vAlign w:val="center"/>
          </w:tcPr>
          <w:p w14:paraId="4FC45E4C"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F) per il conseguimento del titolo di "dottorato di ricerca"(si valuta un solo </w:t>
            </w:r>
            <w:proofErr w:type="gramStart"/>
            <w:r>
              <w:rPr>
                <w:rFonts w:ascii="Times New Roman" w:eastAsia="Times New Roman" w:hAnsi="Times New Roman" w:cs="Times New Roman"/>
                <w:color w:val="000000"/>
                <w:sz w:val="18"/>
                <w:szCs w:val="18"/>
              </w:rPr>
              <w:t xml:space="preserve">titolo)   </w:t>
            </w:r>
            <w:proofErr w:type="gramEnd"/>
            <w:r>
              <w:rPr>
                <w:rFonts w:ascii="Times New Roman" w:eastAsia="Times New Roman" w:hAnsi="Times New Roman" w:cs="Times New Roman"/>
                <w:color w:val="000000"/>
                <w:sz w:val="18"/>
                <w:szCs w:val="18"/>
              </w:rPr>
              <w:t xml:space="preserve">                       (Punti 5)  </w:t>
            </w:r>
          </w:p>
          <w:p w14:paraId="3B627701"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(si valuta un solo titolo) </w:t>
            </w:r>
          </w:p>
        </w:tc>
        <w:tc>
          <w:tcPr>
            <w:tcW w:w="662" w:type="dxa"/>
            <w:vAlign w:val="center"/>
          </w:tcPr>
          <w:p w14:paraId="4B7C42B2"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24" w:type="dxa"/>
            <w:vAlign w:val="center"/>
          </w:tcPr>
          <w:p w14:paraId="79177EA0"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447A6FF9" w14:textId="77777777">
        <w:trPr>
          <w:trHeight w:val="1160"/>
        </w:trPr>
        <w:tc>
          <w:tcPr>
            <w:tcW w:w="8062" w:type="dxa"/>
            <w:vAlign w:val="center"/>
          </w:tcPr>
          <w:p w14:paraId="638657F7"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G) per la sola scuola primaria per la frequenza del corso di aggiornamento-</w:t>
            </w:r>
            <w:proofErr w:type="gramStart"/>
            <w:r>
              <w:rPr>
                <w:rFonts w:ascii="Times New Roman" w:eastAsia="Times New Roman" w:hAnsi="Times New Roman" w:cs="Times New Roman"/>
                <w:color w:val="000000"/>
                <w:sz w:val="18"/>
                <w:szCs w:val="18"/>
              </w:rPr>
              <w:t>formazione  linguistica</w:t>
            </w:r>
            <w:proofErr w:type="gramEnd"/>
            <w:r>
              <w:rPr>
                <w:rFonts w:ascii="Times New Roman" w:eastAsia="Times New Roman" w:hAnsi="Times New Roman" w:cs="Times New Roman"/>
                <w:color w:val="000000"/>
                <w:sz w:val="18"/>
                <w:szCs w:val="18"/>
              </w:rPr>
              <w:t xml:space="preserve"> e glottodidattica compreso nei piani attuati dal ministero, con la collaborazione  degli Uffici scolastici territorialmente competenti, delle istituzioni scolastiche, degli istituti di  Ricerca (ex IRRSAE- IRRE, CEDE, BDP oggi, rispettivamente, INVALSI, INDIRE) e  dell'università (16)                               (Punti </w:t>
            </w:r>
            <w:r>
              <w:rPr>
                <w:rFonts w:ascii="Arial" w:eastAsia="Arial" w:hAnsi="Arial" w:cs="Arial"/>
                <w:color w:val="000000"/>
                <w:sz w:val="18"/>
                <w:szCs w:val="18"/>
              </w:rPr>
              <w:t xml:space="preserve">1) </w:t>
            </w:r>
          </w:p>
        </w:tc>
        <w:tc>
          <w:tcPr>
            <w:tcW w:w="662" w:type="dxa"/>
            <w:vAlign w:val="center"/>
          </w:tcPr>
          <w:p w14:paraId="33E990EC"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24" w:type="dxa"/>
            <w:vAlign w:val="center"/>
          </w:tcPr>
          <w:p w14:paraId="226980AF"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2CC860B4" w14:textId="77777777">
        <w:trPr>
          <w:trHeight w:val="1217"/>
        </w:trPr>
        <w:tc>
          <w:tcPr>
            <w:tcW w:w="8062" w:type="dxa"/>
            <w:vAlign w:val="center"/>
          </w:tcPr>
          <w:p w14:paraId="2826785A"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H) per ogni partecipazione agli esami di stato conclusivi dei corsi di studio di </w:t>
            </w:r>
            <w:proofErr w:type="gramStart"/>
            <w:r>
              <w:rPr>
                <w:rFonts w:ascii="Times New Roman" w:eastAsia="Times New Roman" w:hAnsi="Times New Roman" w:cs="Times New Roman"/>
                <w:color w:val="000000"/>
                <w:sz w:val="18"/>
                <w:szCs w:val="18"/>
              </w:rPr>
              <w:t>istruzione  secondaria</w:t>
            </w:r>
            <w:proofErr w:type="gramEnd"/>
            <w:r>
              <w:rPr>
                <w:rFonts w:ascii="Times New Roman" w:eastAsia="Times New Roman" w:hAnsi="Times New Roman" w:cs="Times New Roman"/>
                <w:color w:val="000000"/>
                <w:sz w:val="18"/>
                <w:szCs w:val="18"/>
              </w:rPr>
              <w:t xml:space="preserve"> superiore di cui alla legge 10/12/97 n. 425 e al D.P.R. 23.7.1998 n.323, fino  all' anno scolastico 2000/2001, in qualità di presidente di commissione o di componente  esterno o di componente interno, compresa l'attività svolta dal docente di sostegno all'alunno  disabile che sostiene l'esame.            (Punti </w:t>
            </w:r>
            <w:r>
              <w:rPr>
                <w:rFonts w:ascii="Arial" w:eastAsia="Arial" w:hAnsi="Arial" w:cs="Arial"/>
                <w:color w:val="000000"/>
                <w:sz w:val="18"/>
                <w:szCs w:val="18"/>
              </w:rPr>
              <w:t xml:space="preserve">1) </w:t>
            </w:r>
          </w:p>
        </w:tc>
        <w:tc>
          <w:tcPr>
            <w:tcW w:w="662" w:type="dxa"/>
            <w:vAlign w:val="center"/>
          </w:tcPr>
          <w:p w14:paraId="66E3E6D1"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24" w:type="dxa"/>
            <w:vAlign w:val="center"/>
          </w:tcPr>
          <w:p w14:paraId="501ABCC3"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2481C64A" w14:textId="77777777">
        <w:trPr>
          <w:trHeight w:val="454"/>
        </w:trPr>
        <w:tc>
          <w:tcPr>
            <w:tcW w:w="8062" w:type="dxa"/>
            <w:vAlign w:val="center"/>
          </w:tcPr>
          <w:p w14:paraId="1E32A765"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I) CLIL di Corso di Perfezionamento per l’insegnamento di una disciplina non linguistica di lingua straniera di cui al Decreto Direttoriale n. 6 del 16 aprile 2012 rilasciato da strutture universitarie in possesso dei requisiti di </w:t>
            </w:r>
            <w:r>
              <w:rPr>
                <w:rFonts w:ascii="Times New Roman" w:eastAsia="Times New Roman" w:hAnsi="Times New Roman" w:cs="Times New Roman"/>
                <w:color w:val="000000"/>
                <w:sz w:val="18"/>
                <w:szCs w:val="18"/>
              </w:rPr>
              <w:lastRenderedPageBreak/>
              <w:t>cui all’art.3, comma 3 del D.M. del 30 settembre 2011.                                                    (Punti 1)</w:t>
            </w:r>
          </w:p>
          <w:p w14:paraId="184C848B"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N.B. il certificato viene rilasciato solo da chi:</w:t>
            </w:r>
          </w:p>
          <w:p w14:paraId="4A857A79"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è in possesso di certificato di livello C1 del QCER (art.4 comma 2)</w:t>
            </w:r>
          </w:p>
          <w:p w14:paraId="7DB853B6"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ha frequentato il corso metodologico</w:t>
            </w:r>
          </w:p>
          <w:p w14:paraId="23707291"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sostenuto la prova finale                                                      </w:t>
            </w:r>
          </w:p>
        </w:tc>
        <w:tc>
          <w:tcPr>
            <w:tcW w:w="662" w:type="dxa"/>
            <w:vAlign w:val="center"/>
          </w:tcPr>
          <w:p w14:paraId="2BE7EB7C"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24" w:type="dxa"/>
            <w:vAlign w:val="center"/>
          </w:tcPr>
          <w:p w14:paraId="7B41C078"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438FCC1B" w14:textId="77777777">
        <w:trPr>
          <w:trHeight w:val="283"/>
        </w:trPr>
        <w:tc>
          <w:tcPr>
            <w:tcW w:w="8062" w:type="dxa"/>
            <w:vAlign w:val="center"/>
          </w:tcPr>
          <w:p w14:paraId="21A0C0C1"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L)  CLIL per i docenti NON in possesso di Certificato di livello C1, ma che avendo svolto la parte metodologica presso le strutture universitarie, sono in possesso di un ATTESTATO di frequenza al corso di perfezionamento.                                                                                                                    (Punti 0,5)</w:t>
            </w:r>
          </w:p>
        </w:tc>
        <w:tc>
          <w:tcPr>
            <w:tcW w:w="662" w:type="dxa"/>
            <w:vAlign w:val="center"/>
          </w:tcPr>
          <w:p w14:paraId="2F0F649C"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24" w:type="dxa"/>
            <w:vAlign w:val="center"/>
          </w:tcPr>
          <w:p w14:paraId="7C938CDC"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75E51814" w14:textId="77777777">
        <w:trPr>
          <w:trHeight w:val="465"/>
        </w:trPr>
        <w:tc>
          <w:tcPr>
            <w:tcW w:w="8062" w:type="dxa"/>
            <w:vAlign w:val="center"/>
          </w:tcPr>
          <w:p w14:paraId="7E960F22" w14:textId="77777777"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N.B. i titoli relativi a C), D), E), F), G), H), anche cumulabili tra di loro, sono valutati fino </w:t>
            </w:r>
            <w:proofErr w:type="gramStart"/>
            <w:r>
              <w:rPr>
                <w:rFonts w:ascii="Times New Roman" w:eastAsia="Times New Roman" w:hAnsi="Times New Roman" w:cs="Times New Roman"/>
                <w:color w:val="000000"/>
                <w:sz w:val="18"/>
                <w:szCs w:val="18"/>
              </w:rPr>
              <w:t>ad  un</w:t>
            </w:r>
            <w:proofErr w:type="gramEnd"/>
            <w:r>
              <w:rPr>
                <w:rFonts w:ascii="Times New Roman" w:eastAsia="Times New Roman" w:hAnsi="Times New Roman" w:cs="Times New Roman"/>
                <w:color w:val="000000"/>
                <w:sz w:val="18"/>
                <w:szCs w:val="18"/>
              </w:rPr>
              <w:t xml:space="preserve"> massimo di Punti </w:t>
            </w:r>
            <w:r>
              <w:rPr>
                <w:rFonts w:ascii="Times New Roman" w:eastAsia="Times New Roman" w:hAnsi="Times New Roman" w:cs="Times New Roman"/>
                <w:color w:val="000000"/>
                <w:sz w:val="19"/>
                <w:szCs w:val="19"/>
              </w:rPr>
              <w:t xml:space="preserve">10 </w:t>
            </w:r>
          </w:p>
        </w:tc>
        <w:tc>
          <w:tcPr>
            <w:tcW w:w="662" w:type="dxa"/>
            <w:vAlign w:val="center"/>
          </w:tcPr>
          <w:p w14:paraId="5DCF77B2"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24" w:type="dxa"/>
            <w:vAlign w:val="center"/>
          </w:tcPr>
          <w:p w14:paraId="7B2FDAAD"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14:paraId="01768FBA" w14:textId="77777777">
        <w:trPr>
          <w:trHeight w:val="567"/>
        </w:trPr>
        <w:tc>
          <w:tcPr>
            <w:tcW w:w="8062" w:type="dxa"/>
            <w:vAlign w:val="center"/>
          </w:tcPr>
          <w:p w14:paraId="70D9B392" w14:textId="77777777" w:rsidR="00171DE6" w:rsidRDefault="00BF7655">
            <w:pPr>
              <w:pStyle w:val="Normale1"/>
              <w:widowControl w:val="0"/>
              <w:pBdr>
                <w:top w:val="nil"/>
                <w:left w:val="nil"/>
                <w:bottom w:val="nil"/>
                <w:right w:val="nil"/>
                <w:between w:val="nil"/>
              </w:pBdr>
              <w:ind w:left="153"/>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TOTALE PUNTI </w:t>
            </w:r>
          </w:p>
        </w:tc>
        <w:tc>
          <w:tcPr>
            <w:tcW w:w="1586" w:type="dxa"/>
            <w:gridSpan w:val="2"/>
            <w:vAlign w:val="center"/>
          </w:tcPr>
          <w:p w14:paraId="6ACACF10" w14:textId="77777777"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bl>
    <w:p w14:paraId="3C74903D" w14:textId="77777777" w:rsidR="00171DE6" w:rsidRDefault="00171DE6">
      <w:pPr>
        <w:pStyle w:val="Normale1"/>
        <w:widowControl w:val="0"/>
        <w:pBdr>
          <w:top w:val="nil"/>
          <w:left w:val="nil"/>
          <w:bottom w:val="nil"/>
          <w:right w:val="nil"/>
          <w:between w:val="nil"/>
        </w:pBdr>
        <w:rPr>
          <w:rFonts w:ascii="Times New Roman" w:eastAsia="Times New Roman" w:hAnsi="Times New Roman" w:cs="Times New Roman"/>
          <w:color w:val="000000"/>
          <w:sz w:val="16"/>
          <w:szCs w:val="16"/>
        </w:rPr>
      </w:pPr>
    </w:p>
    <w:p w14:paraId="5ECE3A71" w14:textId="77777777" w:rsidR="003C391B" w:rsidRDefault="00BF7655">
      <w:pPr>
        <w:pStyle w:val="Normale1"/>
        <w:widowControl w:val="0"/>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Data</w:t>
      </w:r>
      <w:r>
        <w:rPr>
          <w:rFonts w:ascii="Times New Roman" w:eastAsia="Times New Roman" w:hAnsi="Times New Roman" w:cs="Times New Roman"/>
          <w:color w:val="000000"/>
        </w:rPr>
        <w:tab/>
      </w:r>
      <w:r w:rsidR="003C391B">
        <w:rPr>
          <w:rFonts w:ascii="Times New Roman" w:eastAsia="Times New Roman" w:hAnsi="Times New Roman" w:cs="Times New Roman"/>
          <w:color w:val="000000"/>
        </w:rPr>
        <w:t xml:space="preserve">__________________  </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w:t>
      </w:r>
    </w:p>
    <w:p w14:paraId="28A4F4E4" w14:textId="77777777" w:rsidR="003C391B" w:rsidRDefault="003C391B">
      <w:pPr>
        <w:pStyle w:val="Normale1"/>
        <w:widowControl w:val="0"/>
        <w:pBdr>
          <w:top w:val="nil"/>
          <w:left w:val="nil"/>
          <w:bottom w:val="nil"/>
          <w:right w:val="nil"/>
          <w:between w:val="nil"/>
        </w:pBdr>
        <w:rPr>
          <w:rFonts w:ascii="Times New Roman" w:eastAsia="Times New Roman" w:hAnsi="Times New Roman" w:cs="Times New Roman"/>
          <w:color w:val="000000"/>
        </w:rPr>
      </w:pPr>
    </w:p>
    <w:p w14:paraId="5B53A19F" w14:textId="77777777" w:rsidR="003C391B" w:rsidRDefault="003C391B">
      <w:pPr>
        <w:pStyle w:val="Normale1"/>
        <w:widowControl w:val="0"/>
        <w:pBdr>
          <w:top w:val="nil"/>
          <w:left w:val="nil"/>
          <w:bottom w:val="nil"/>
          <w:right w:val="nil"/>
          <w:between w:val="nil"/>
        </w:pBdr>
        <w:rPr>
          <w:rFonts w:ascii="Times New Roman" w:eastAsia="Times New Roman" w:hAnsi="Times New Roman" w:cs="Times New Roman"/>
          <w:color w:val="000000"/>
        </w:rPr>
      </w:pPr>
    </w:p>
    <w:p w14:paraId="326C45F3" w14:textId="77777777" w:rsidR="00171DE6" w:rsidRDefault="003C391B">
      <w:pPr>
        <w:pStyle w:val="Normale1"/>
        <w:widowControl w:val="0"/>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BF7655">
        <w:rPr>
          <w:rFonts w:ascii="Times New Roman" w:eastAsia="Times New Roman" w:hAnsi="Times New Roman" w:cs="Times New Roman"/>
          <w:color w:val="000000"/>
        </w:rPr>
        <w:t xml:space="preserve">       FIRMA</w:t>
      </w:r>
    </w:p>
    <w:p w14:paraId="7EC45869" w14:textId="77777777" w:rsidR="00171DE6" w:rsidRDefault="00171DE6">
      <w:pPr>
        <w:pStyle w:val="Normale1"/>
        <w:widowControl w:val="0"/>
        <w:pBdr>
          <w:top w:val="nil"/>
          <w:left w:val="nil"/>
          <w:bottom w:val="nil"/>
          <w:right w:val="nil"/>
          <w:between w:val="nil"/>
        </w:pBdr>
        <w:rPr>
          <w:rFonts w:ascii="Times New Roman" w:eastAsia="Times New Roman" w:hAnsi="Times New Roman" w:cs="Times New Roman"/>
          <w:color w:val="000000"/>
        </w:rPr>
      </w:pPr>
    </w:p>
    <w:p w14:paraId="4D80ABE1" w14:textId="77777777" w:rsidR="00171DE6" w:rsidRDefault="00BF7655" w:rsidP="003C391B">
      <w:pPr>
        <w:pStyle w:val="Normale1"/>
        <w:widowControl w:val="0"/>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sidR="003C391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_________________________</w:t>
      </w:r>
    </w:p>
    <w:p w14:paraId="5C4EBAC4" w14:textId="77777777" w:rsidR="00171DE6" w:rsidRDefault="00171DE6">
      <w:pPr>
        <w:pStyle w:val="Normale1"/>
        <w:pBdr>
          <w:top w:val="nil"/>
          <w:left w:val="nil"/>
          <w:bottom w:val="nil"/>
          <w:right w:val="nil"/>
          <w:between w:val="nil"/>
        </w:pBdr>
        <w:spacing w:after="160" w:line="259" w:lineRule="auto"/>
        <w:jc w:val="both"/>
        <w:rPr>
          <w:color w:val="000000"/>
          <w:sz w:val="18"/>
          <w:szCs w:val="18"/>
        </w:rPr>
      </w:pPr>
    </w:p>
    <w:p w14:paraId="535FDDD9" w14:textId="77777777" w:rsidR="00171DE6" w:rsidRDefault="00171DE6">
      <w:pPr>
        <w:pStyle w:val="Normale1"/>
        <w:pBdr>
          <w:top w:val="nil"/>
          <w:left w:val="nil"/>
          <w:bottom w:val="nil"/>
          <w:right w:val="nil"/>
          <w:between w:val="nil"/>
        </w:pBdr>
        <w:spacing w:after="160" w:line="259" w:lineRule="auto"/>
        <w:jc w:val="both"/>
        <w:rPr>
          <w:color w:val="000000"/>
          <w:sz w:val="18"/>
          <w:szCs w:val="18"/>
        </w:rPr>
      </w:pPr>
    </w:p>
    <w:p w14:paraId="1FCEB636" w14:textId="77777777" w:rsidR="00171DE6" w:rsidRDefault="00171DE6">
      <w:pPr>
        <w:pStyle w:val="Normale1"/>
        <w:pBdr>
          <w:top w:val="nil"/>
          <w:left w:val="nil"/>
          <w:bottom w:val="nil"/>
          <w:right w:val="nil"/>
          <w:between w:val="nil"/>
        </w:pBdr>
        <w:spacing w:after="160" w:line="259" w:lineRule="auto"/>
        <w:jc w:val="both"/>
        <w:rPr>
          <w:color w:val="000000"/>
          <w:sz w:val="18"/>
          <w:szCs w:val="18"/>
        </w:rPr>
      </w:pPr>
    </w:p>
    <w:p w14:paraId="5830EA11" w14:textId="77777777" w:rsidR="00171DE6" w:rsidRDefault="00171DE6">
      <w:pPr>
        <w:pStyle w:val="Normale1"/>
        <w:pBdr>
          <w:top w:val="nil"/>
          <w:left w:val="nil"/>
          <w:bottom w:val="nil"/>
          <w:right w:val="nil"/>
          <w:between w:val="nil"/>
        </w:pBdr>
        <w:spacing w:after="160" w:line="259" w:lineRule="auto"/>
        <w:jc w:val="both"/>
        <w:rPr>
          <w:color w:val="000000"/>
          <w:sz w:val="18"/>
          <w:szCs w:val="18"/>
        </w:rPr>
      </w:pPr>
    </w:p>
    <w:p w14:paraId="67906DB5" w14:textId="77777777" w:rsidR="00171DE6" w:rsidRDefault="00171DE6">
      <w:pPr>
        <w:pStyle w:val="Normale1"/>
        <w:pBdr>
          <w:top w:val="nil"/>
          <w:left w:val="nil"/>
          <w:bottom w:val="nil"/>
          <w:right w:val="nil"/>
          <w:between w:val="nil"/>
        </w:pBdr>
        <w:spacing w:after="160" w:line="259" w:lineRule="auto"/>
        <w:jc w:val="both"/>
        <w:rPr>
          <w:color w:val="000000"/>
          <w:sz w:val="18"/>
          <w:szCs w:val="18"/>
        </w:rPr>
      </w:pPr>
    </w:p>
    <w:p w14:paraId="2ACDA94C" w14:textId="77777777" w:rsidR="00171DE6" w:rsidRDefault="00171DE6">
      <w:pPr>
        <w:pStyle w:val="Normale1"/>
        <w:pBdr>
          <w:top w:val="nil"/>
          <w:left w:val="nil"/>
          <w:bottom w:val="nil"/>
          <w:right w:val="nil"/>
          <w:between w:val="nil"/>
        </w:pBdr>
        <w:spacing w:after="160" w:line="259" w:lineRule="auto"/>
        <w:jc w:val="both"/>
        <w:rPr>
          <w:color w:val="000000"/>
          <w:sz w:val="18"/>
          <w:szCs w:val="18"/>
        </w:rPr>
      </w:pPr>
    </w:p>
    <w:p w14:paraId="2EE49BB5" w14:textId="77777777" w:rsidR="00171DE6" w:rsidRDefault="00171DE6">
      <w:pPr>
        <w:pStyle w:val="Normale1"/>
        <w:pBdr>
          <w:top w:val="nil"/>
          <w:left w:val="nil"/>
          <w:bottom w:val="nil"/>
          <w:right w:val="nil"/>
          <w:between w:val="nil"/>
        </w:pBdr>
        <w:spacing w:after="160" w:line="259" w:lineRule="auto"/>
        <w:jc w:val="both"/>
        <w:rPr>
          <w:color w:val="000000"/>
          <w:sz w:val="18"/>
          <w:szCs w:val="18"/>
        </w:rPr>
      </w:pPr>
    </w:p>
    <w:p w14:paraId="13363317" w14:textId="77777777" w:rsidR="00171DE6" w:rsidRDefault="00171DE6">
      <w:pPr>
        <w:pStyle w:val="Normale1"/>
        <w:pBdr>
          <w:top w:val="nil"/>
          <w:left w:val="nil"/>
          <w:bottom w:val="nil"/>
          <w:right w:val="nil"/>
          <w:between w:val="nil"/>
        </w:pBdr>
        <w:spacing w:after="160" w:line="259" w:lineRule="auto"/>
        <w:jc w:val="both"/>
        <w:rPr>
          <w:color w:val="000000"/>
          <w:sz w:val="18"/>
          <w:szCs w:val="18"/>
        </w:rPr>
      </w:pPr>
    </w:p>
    <w:p w14:paraId="2152C602" w14:textId="77777777" w:rsidR="00171DE6" w:rsidRDefault="00171DE6">
      <w:pPr>
        <w:pStyle w:val="Normale1"/>
        <w:pBdr>
          <w:top w:val="nil"/>
          <w:left w:val="nil"/>
          <w:bottom w:val="nil"/>
          <w:right w:val="nil"/>
          <w:between w:val="nil"/>
        </w:pBdr>
        <w:spacing w:after="160" w:line="259" w:lineRule="auto"/>
        <w:jc w:val="both"/>
        <w:rPr>
          <w:color w:val="000000"/>
          <w:sz w:val="18"/>
          <w:szCs w:val="18"/>
        </w:rPr>
      </w:pPr>
    </w:p>
    <w:p w14:paraId="7F830D98" w14:textId="77777777" w:rsidR="00171DE6" w:rsidRDefault="00171DE6">
      <w:pPr>
        <w:pStyle w:val="Normale1"/>
        <w:pBdr>
          <w:top w:val="nil"/>
          <w:left w:val="nil"/>
          <w:bottom w:val="nil"/>
          <w:right w:val="nil"/>
          <w:between w:val="nil"/>
        </w:pBdr>
        <w:spacing w:after="160" w:line="259" w:lineRule="auto"/>
        <w:jc w:val="both"/>
        <w:rPr>
          <w:color w:val="000000"/>
          <w:sz w:val="18"/>
          <w:szCs w:val="18"/>
        </w:rPr>
      </w:pPr>
    </w:p>
    <w:p w14:paraId="61AD7C60" w14:textId="77777777" w:rsidR="00171DE6" w:rsidRDefault="00171DE6">
      <w:pPr>
        <w:pStyle w:val="Normale1"/>
        <w:pBdr>
          <w:top w:val="nil"/>
          <w:left w:val="nil"/>
          <w:bottom w:val="nil"/>
          <w:right w:val="nil"/>
          <w:between w:val="nil"/>
        </w:pBdr>
        <w:spacing w:after="160" w:line="259" w:lineRule="auto"/>
        <w:jc w:val="both"/>
        <w:rPr>
          <w:color w:val="000000"/>
          <w:sz w:val="18"/>
          <w:szCs w:val="18"/>
        </w:rPr>
      </w:pPr>
    </w:p>
    <w:p w14:paraId="578947F7" w14:textId="77777777" w:rsidR="00171DE6" w:rsidRDefault="00171DE6">
      <w:pPr>
        <w:pStyle w:val="Normale1"/>
        <w:pBdr>
          <w:top w:val="nil"/>
          <w:left w:val="nil"/>
          <w:bottom w:val="nil"/>
          <w:right w:val="nil"/>
          <w:between w:val="nil"/>
        </w:pBdr>
        <w:spacing w:after="160" w:line="259" w:lineRule="auto"/>
        <w:jc w:val="both"/>
        <w:rPr>
          <w:color w:val="000000"/>
          <w:sz w:val="18"/>
          <w:szCs w:val="18"/>
        </w:rPr>
      </w:pPr>
    </w:p>
    <w:p w14:paraId="489AA772" w14:textId="77777777" w:rsidR="00171DE6" w:rsidRDefault="00171DE6">
      <w:pPr>
        <w:pStyle w:val="Normale1"/>
        <w:pBdr>
          <w:top w:val="nil"/>
          <w:left w:val="nil"/>
          <w:bottom w:val="nil"/>
          <w:right w:val="nil"/>
          <w:between w:val="nil"/>
        </w:pBdr>
        <w:spacing w:after="160" w:line="259" w:lineRule="auto"/>
        <w:jc w:val="both"/>
        <w:rPr>
          <w:color w:val="000000"/>
          <w:sz w:val="18"/>
          <w:szCs w:val="18"/>
        </w:rPr>
      </w:pPr>
    </w:p>
    <w:p w14:paraId="70169CA6" w14:textId="77777777" w:rsidR="00171DE6" w:rsidRDefault="00171DE6">
      <w:pPr>
        <w:pStyle w:val="Normale1"/>
        <w:pBdr>
          <w:top w:val="nil"/>
          <w:left w:val="nil"/>
          <w:bottom w:val="nil"/>
          <w:right w:val="nil"/>
          <w:between w:val="nil"/>
        </w:pBdr>
        <w:spacing w:after="160" w:line="259" w:lineRule="auto"/>
        <w:jc w:val="both"/>
        <w:rPr>
          <w:color w:val="000000"/>
          <w:sz w:val="18"/>
          <w:szCs w:val="18"/>
        </w:rPr>
      </w:pPr>
    </w:p>
    <w:p w14:paraId="2E847D26" w14:textId="77777777" w:rsidR="00171DE6" w:rsidRDefault="00171DE6">
      <w:pPr>
        <w:pStyle w:val="Normale1"/>
        <w:pBdr>
          <w:top w:val="nil"/>
          <w:left w:val="nil"/>
          <w:bottom w:val="nil"/>
          <w:right w:val="nil"/>
          <w:between w:val="nil"/>
        </w:pBdr>
        <w:spacing w:after="160" w:line="259" w:lineRule="auto"/>
        <w:jc w:val="both"/>
        <w:rPr>
          <w:color w:val="000000"/>
          <w:sz w:val="18"/>
          <w:szCs w:val="18"/>
        </w:rPr>
      </w:pPr>
    </w:p>
    <w:p w14:paraId="2BC1E390" w14:textId="77777777" w:rsidR="00171DE6" w:rsidRDefault="00171DE6">
      <w:pPr>
        <w:pStyle w:val="Normale1"/>
        <w:pBdr>
          <w:top w:val="nil"/>
          <w:left w:val="nil"/>
          <w:bottom w:val="nil"/>
          <w:right w:val="nil"/>
          <w:between w:val="nil"/>
        </w:pBdr>
        <w:spacing w:after="160" w:line="259" w:lineRule="auto"/>
        <w:jc w:val="both"/>
        <w:rPr>
          <w:color w:val="000000"/>
          <w:sz w:val="18"/>
          <w:szCs w:val="18"/>
        </w:rPr>
      </w:pPr>
    </w:p>
    <w:p w14:paraId="4843CD19" w14:textId="77777777" w:rsidR="00171DE6" w:rsidRDefault="00171DE6">
      <w:pPr>
        <w:pStyle w:val="Normale1"/>
        <w:pBdr>
          <w:top w:val="nil"/>
          <w:left w:val="nil"/>
          <w:bottom w:val="nil"/>
          <w:right w:val="nil"/>
          <w:between w:val="nil"/>
        </w:pBdr>
        <w:spacing w:after="160" w:line="259" w:lineRule="auto"/>
        <w:jc w:val="both"/>
        <w:rPr>
          <w:color w:val="000000"/>
          <w:sz w:val="18"/>
          <w:szCs w:val="18"/>
        </w:rPr>
      </w:pPr>
    </w:p>
    <w:p w14:paraId="6C20245A" w14:textId="77777777" w:rsidR="00171DE6" w:rsidRDefault="00171DE6">
      <w:pPr>
        <w:pStyle w:val="Normale1"/>
        <w:pBdr>
          <w:top w:val="nil"/>
          <w:left w:val="nil"/>
          <w:bottom w:val="nil"/>
          <w:right w:val="nil"/>
          <w:between w:val="nil"/>
        </w:pBdr>
        <w:spacing w:after="160" w:line="259" w:lineRule="auto"/>
        <w:jc w:val="both"/>
        <w:rPr>
          <w:color w:val="000000"/>
          <w:sz w:val="18"/>
          <w:szCs w:val="18"/>
        </w:rPr>
      </w:pPr>
    </w:p>
    <w:p w14:paraId="281F7C98" w14:textId="77777777" w:rsidR="00171DE6" w:rsidRDefault="00171DE6">
      <w:pPr>
        <w:pStyle w:val="Normale1"/>
        <w:pBdr>
          <w:top w:val="nil"/>
          <w:left w:val="nil"/>
          <w:bottom w:val="nil"/>
          <w:right w:val="nil"/>
          <w:between w:val="nil"/>
        </w:pBdr>
        <w:spacing w:after="160" w:line="259" w:lineRule="auto"/>
        <w:jc w:val="both"/>
        <w:rPr>
          <w:color w:val="000000"/>
          <w:sz w:val="18"/>
          <w:szCs w:val="18"/>
        </w:rPr>
      </w:pPr>
    </w:p>
    <w:p w14:paraId="5AFB9C46" w14:textId="77777777" w:rsidR="00171DE6" w:rsidRDefault="00171DE6">
      <w:pPr>
        <w:pStyle w:val="Normale1"/>
        <w:pBdr>
          <w:top w:val="nil"/>
          <w:left w:val="nil"/>
          <w:bottom w:val="nil"/>
          <w:right w:val="nil"/>
          <w:between w:val="nil"/>
        </w:pBdr>
        <w:spacing w:after="160" w:line="259" w:lineRule="auto"/>
        <w:jc w:val="both"/>
        <w:rPr>
          <w:color w:val="000000"/>
          <w:sz w:val="18"/>
          <w:szCs w:val="18"/>
        </w:rPr>
      </w:pPr>
    </w:p>
    <w:p w14:paraId="01A70718" w14:textId="77777777" w:rsidR="00171DE6" w:rsidRDefault="00171DE6">
      <w:pPr>
        <w:pStyle w:val="Normale1"/>
        <w:pBdr>
          <w:top w:val="nil"/>
          <w:left w:val="nil"/>
          <w:bottom w:val="nil"/>
          <w:right w:val="nil"/>
          <w:between w:val="nil"/>
        </w:pBdr>
        <w:spacing w:after="160" w:line="259" w:lineRule="auto"/>
        <w:jc w:val="both"/>
        <w:rPr>
          <w:color w:val="000000"/>
          <w:sz w:val="18"/>
          <w:szCs w:val="18"/>
        </w:rPr>
      </w:pPr>
    </w:p>
    <w:p w14:paraId="7FC7D924" w14:textId="77777777" w:rsidR="00171DE6" w:rsidRDefault="00171DE6">
      <w:pPr>
        <w:pStyle w:val="Normale1"/>
        <w:pBdr>
          <w:top w:val="nil"/>
          <w:left w:val="nil"/>
          <w:bottom w:val="nil"/>
          <w:right w:val="nil"/>
          <w:between w:val="nil"/>
        </w:pBdr>
        <w:spacing w:after="160" w:line="259" w:lineRule="auto"/>
        <w:jc w:val="both"/>
        <w:rPr>
          <w:color w:val="000000"/>
          <w:sz w:val="18"/>
          <w:szCs w:val="18"/>
        </w:rPr>
      </w:pPr>
    </w:p>
    <w:p w14:paraId="30E2277A" w14:textId="77777777" w:rsidR="00171DE6" w:rsidRDefault="00171DE6">
      <w:pPr>
        <w:pStyle w:val="Normale1"/>
        <w:pBdr>
          <w:top w:val="nil"/>
          <w:left w:val="nil"/>
          <w:bottom w:val="nil"/>
          <w:right w:val="nil"/>
          <w:between w:val="nil"/>
        </w:pBdr>
        <w:spacing w:after="160" w:line="259" w:lineRule="auto"/>
        <w:jc w:val="both"/>
        <w:rPr>
          <w:color w:val="000000"/>
          <w:sz w:val="18"/>
          <w:szCs w:val="18"/>
        </w:rPr>
      </w:pPr>
    </w:p>
    <w:p w14:paraId="6F1139D3" w14:textId="77777777" w:rsidR="00171DE6" w:rsidRDefault="00171DE6">
      <w:pPr>
        <w:pStyle w:val="Normale1"/>
        <w:pBdr>
          <w:top w:val="nil"/>
          <w:left w:val="nil"/>
          <w:bottom w:val="nil"/>
          <w:right w:val="nil"/>
          <w:between w:val="nil"/>
        </w:pBdr>
        <w:spacing w:after="160" w:line="259" w:lineRule="auto"/>
        <w:jc w:val="both"/>
        <w:rPr>
          <w:color w:val="000000"/>
          <w:sz w:val="18"/>
          <w:szCs w:val="18"/>
        </w:rPr>
      </w:pPr>
    </w:p>
    <w:p w14:paraId="02E450F0" w14:textId="77777777" w:rsidR="00171DE6" w:rsidRDefault="00171DE6">
      <w:pPr>
        <w:pStyle w:val="Normale1"/>
        <w:pBdr>
          <w:top w:val="nil"/>
          <w:left w:val="nil"/>
          <w:bottom w:val="nil"/>
          <w:right w:val="nil"/>
          <w:between w:val="nil"/>
        </w:pBdr>
        <w:spacing w:after="160" w:line="259" w:lineRule="auto"/>
        <w:jc w:val="both"/>
        <w:rPr>
          <w:color w:val="000000"/>
          <w:sz w:val="18"/>
          <w:szCs w:val="18"/>
        </w:rPr>
      </w:pPr>
    </w:p>
    <w:p w14:paraId="0C01AF47" w14:textId="77777777" w:rsidR="00171DE6" w:rsidRDefault="00171DE6">
      <w:pPr>
        <w:pStyle w:val="Normale1"/>
        <w:pBdr>
          <w:top w:val="nil"/>
          <w:left w:val="nil"/>
          <w:bottom w:val="nil"/>
          <w:right w:val="nil"/>
          <w:between w:val="nil"/>
        </w:pBdr>
        <w:spacing w:after="160" w:line="259" w:lineRule="auto"/>
        <w:jc w:val="both"/>
        <w:rPr>
          <w:color w:val="000000"/>
          <w:sz w:val="18"/>
          <w:szCs w:val="18"/>
        </w:rPr>
      </w:pPr>
    </w:p>
    <w:p w14:paraId="37ADF117" w14:textId="77777777" w:rsidR="00171DE6" w:rsidRDefault="00171DE6">
      <w:pPr>
        <w:pStyle w:val="Normale1"/>
        <w:pBdr>
          <w:top w:val="nil"/>
          <w:left w:val="nil"/>
          <w:bottom w:val="nil"/>
          <w:right w:val="nil"/>
          <w:between w:val="nil"/>
        </w:pBdr>
        <w:spacing w:after="160" w:line="259" w:lineRule="auto"/>
        <w:jc w:val="both"/>
        <w:rPr>
          <w:color w:val="000000"/>
          <w:sz w:val="18"/>
          <w:szCs w:val="18"/>
        </w:rPr>
      </w:pPr>
    </w:p>
    <w:p w14:paraId="2706D5F7" w14:textId="77777777" w:rsidR="00171DE6" w:rsidRDefault="00171DE6">
      <w:pPr>
        <w:pStyle w:val="Normale1"/>
        <w:pBdr>
          <w:top w:val="nil"/>
          <w:left w:val="nil"/>
          <w:bottom w:val="nil"/>
          <w:right w:val="nil"/>
          <w:between w:val="nil"/>
        </w:pBdr>
        <w:spacing w:after="160" w:line="259" w:lineRule="auto"/>
        <w:jc w:val="both"/>
        <w:rPr>
          <w:color w:val="000000"/>
          <w:sz w:val="18"/>
          <w:szCs w:val="18"/>
        </w:rPr>
      </w:pPr>
    </w:p>
    <w:p w14:paraId="4C4B2E62" w14:textId="77777777" w:rsidR="00171DE6" w:rsidRDefault="00BF7655">
      <w:pPr>
        <w:pStyle w:val="Normale1"/>
        <w:pBdr>
          <w:top w:val="nil"/>
          <w:left w:val="nil"/>
          <w:bottom w:val="nil"/>
          <w:right w:val="nil"/>
          <w:between w:val="nil"/>
        </w:pBdr>
        <w:spacing w:after="160" w:line="259" w:lineRule="auto"/>
        <w:jc w:val="both"/>
        <w:rPr>
          <w:color w:val="000000"/>
          <w:sz w:val="18"/>
          <w:szCs w:val="18"/>
        </w:rPr>
      </w:pPr>
      <w:r>
        <w:rPr>
          <w:smallCaps/>
          <w:color w:val="000000"/>
          <w:sz w:val="18"/>
          <w:szCs w:val="18"/>
        </w:rPr>
        <w:t>Note comuni alle tabelle dei trasferimenti a domanda e d’ufficio e dei passaggi dei docenti delle scuole dell’infanzia, primaria, secondaria di I grado e degli istituti di istruzione secondaria di II grado ed artistica e del personale educativo</w:t>
      </w:r>
    </w:p>
    <w:p w14:paraId="7B3F54A4" w14:textId="77777777" w:rsidR="00171DE6" w:rsidRDefault="00171DE6">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p>
    <w:p w14:paraId="479F1F20" w14:textId="77777777" w:rsidR="00171DE6" w:rsidRDefault="00BF7655">
      <w:pPr>
        <w:pStyle w:val="Normale1"/>
        <w:pBdr>
          <w:top w:val="nil"/>
          <w:left w:val="nil"/>
          <w:bottom w:val="nil"/>
          <w:right w:val="nil"/>
          <w:between w:val="nil"/>
        </w:pBdr>
        <w:ind w:hanging="567"/>
        <w:jc w:val="both"/>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Premessa</w:t>
      </w:r>
    </w:p>
    <w:p w14:paraId="3E79D8BB"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Ai fini dell’attribuzione del punteggio per le domande di trasferimento, per le domande di passaggio di ruolo e per l’individuazione del perdente posto si precisa quanto segue:</w:t>
      </w:r>
    </w:p>
    <w:p w14:paraId="637C4A0F"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nell’anzianità di servizio non si tiene conto dell’anno scolastico in corso;</w:t>
      </w:r>
    </w:p>
    <w:p w14:paraId="32321045"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nella valutazione dei titoli vengono considerati quelli posseduti entro il termine previsto per la presentazione delle domande dall’annuale O.M.;</w:t>
      </w:r>
    </w:p>
    <w:p w14:paraId="45A6F358"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nella valutazione delle esigenze di famiglia (per il trasferimento a domanda e d’ufficio) è necessario che queste sussistano alla data della presentazione della domanda. Soltanto nel caso dei figli si considerano quelli che compiono i sei anni o i diciotto anni entro il 31 dicembre dell’anno in cui si effettua il trasferimento.</w:t>
      </w:r>
    </w:p>
    <w:p w14:paraId="30D24D5D"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L’anzianità di servizio di cui alle lettere A) e B) del punto I della tabella deve essere attestata dall’interessato, con apposita dichiarazione personale Non interrompe la maturazione del punteggio del servizio la fruizione del congedo biennale per l’assistenza a familiari con grave disabilità di cui agli artt. 32, 33 e 34 comma 5 del D.</w:t>
      </w:r>
      <w:proofErr w:type="gramStart"/>
      <w:r>
        <w:rPr>
          <w:rFonts w:ascii="Times New Roman" w:eastAsia="Times New Roman" w:hAnsi="Times New Roman" w:cs="Times New Roman"/>
          <w:color w:val="000000"/>
          <w:sz w:val="18"/>
          <w:szCs w:val="18"/>
        </w:rPr>
        <w:t>L.vo</w:t>
      </w:r>
      <w:proofErr w:type="gramEnd"/>
      <w:r>
        <w:rPr>
          <w:rFonts w:ascii="Times New Roman" w:eastAsia="Times New Roman" w:hAnsi="Times New Roman" w:cs="Times New Roman"/>
          <w:color w:val="000000"/>
          <w:sz w:val="18"/>
          <w:szCs w:val="18"/>
        </w:rPr>
        <w:t xml:space="preserve"> n. 151/2001. L’anzianità di servizio di cui alla lettera A) comprende gli anni di servizio, comunque prestati successivamente alla decorrenza giuridica della nomina, nel ruolo di appartenenza. Per ogni anno di servizio prestato nei paesi in via di sviluppo il punteggio è raddoppiato. Per gli istituti e scuole di istruzione secondaria ed artistica la lettera A) comprende anche i servizi effettivamente prestati in classe di concorso diversa da quella di attuale titolarità e per la quale sia possibile il passaggio di cattedra. L’anzianità derivante da decorrenza giuridica della 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w:t>
      </w:r>
      <w:proofErr w:type="spellStart"/>
      <w:r>
        <w:rPr>
          <w:rFonts w:ascii="Times New Roman" w:eastAsia="Times New Roman" w:hAnsi="Times New Roman" w:cs="Times New Roman"/>
          <w:color w:val="000000"/>
          <w:sz w:val="18"/>
          <w:szCs w:val="18"/>
        </w:rPr>
        <w:t>restitutio</w:t>
      </w:r>
      <w:proofErr w:type="spellEnd"/>
      <w:r>
        <w:rPr>
          <w:rFonts w:ascii="Times New Roman" w:eastAsia="Times New Roman" w:hAnsi="Times New Roman" w:cs="Times New Roman"/>
          <w:color w:val="000000"/>
          <w:sz w:val="18"/>
          <w:szCs w:val="18"/>
        </w:rPr>
        <w:t xml:space="preserve"> in </w:t>
      </w:r>
      <w:proofErr w:type="spellStart"/>
      <w:r>
        <w:rPr>
          <w:rFonts w:ascii="Times New Roman" w:eastAsia="Times New Roman" w:hAnsi="Times New Roman" w:cs="Times New Roman"/>
          <w:color w:val="000000"/>
          <w:sz w:val="18"/>
          <w:szCs w:val="18"/>
        </w:rPr>
        <w:t>integrum</w:t>
      </w:r>
      <w:proofErr w:type="spellEnd"/>
      <w:r>
        <w:rPr>
          <w:rFonts w:ascii="Times New Roman" w:eastAsia="Times New Roman" w:hAnsi="Times New Roman" w:cs="Times New Roman"/>
          <w:color w:val="000000"/>
          <w:sz w:val="18"/>
          <w:szCs w:val="18"/>
        </w:rPr>
        <w:t xml:space="preserve"> operata a seguito di un giudicato. Sono compresi nella lettera A) gli anni di servizio prestati dai docenti di educazione fisica nel ruolo unico (scuola secondaria di I grado ed istituti di istruzione secondaria di II grado) nonché nel ruolo ad esaurimento nel quale i docenti stessi furono inquadrati a norma della legge 30.3.1976, n. 88 art. 16. Il servizio prestato in ruoli diversi da quello di appartenenza, a seguito di utilizzazione o assegnazione provvisoria, è valutato ai sensi della lettera A) con riferimento al ruolo di appartenenza.</w:t>
      </w:r>
    </w:p>
    <w:p w14:paraId="0EEEACD3"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L’anzianità di cui alla lettera B) comprende gli anni di ruolo anteriori alla nomina nel ruolo di appartenenza non coperti da effettivo servizio ovvero prestati in ruolo diverso da quello di appartenenza e valutati o riconosciuti (o riconoscibili) per intero ai fini giuridici ed economici nella carriera di attuale appartenenza. Tale anzianità comprende anche il servizio </w:t>
      </w:r>
      <w:proofErr w:type="spellStart"/>
      <w:r>
        <w:rPr>
          <w:rFonts w:ascii="Times New Roman" w:eastAsia="Times New Roman" w:hAnsi="Times New Roman" w:cs="Times New Roman"/>
          <w:color w:val="000000"/>
          <w:sz w:val="18"/>
          <w:szCs w:val="18"/>
        </w:rPr>
        <w:t>pre</w:t>
      </w:r>
      <w:proofErr w:type="spellEnd"/>
      <w:r>
        <w:rPr>
          <w:rFonts w:ascii="Times New Roman" w:eastAsia="Times New Roman" w:hAnsi="Times New Roman" w:cs="Times New Roman"/>
          <w:color w:val="000000"/>
          <w:sz w:val="18"/>
          <w:szCs w:val="18"/>
        </w:rPr>
        <w:t>-ruolo e di ruolo prestato nella scuola dell’infanzia da valutare nella stessa misura dei servizi prestati nella scuola primaria; comprende, altresì, il servizio di ruolo e non di ruolo prestato nell’insegnamento della religione cattolica ed i 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tali servizi</w:t>
      </w:r>
      <w:r>
        <w:rPr>
          <w:rFonts w:ascii="Times New Roman" w:eastAsia="Times New Roman" w:hAnsi="Times New Roman" w:cs="Times New Roman"/>
          <w:strike/>
          <w:color w:val="000000"/>
          <w:sz w:val="18"/>
          <w:szCs w:val="18"/>
        </w:rPr>
        <w:t xml:space="preserve"> </w:t>
      </w:r>
      <w:r>
        <w:rPr>
          <w:rFonts w:ascii="Times New Roman" w:eastAsia="Times New Roman" w:hAnsi="Times New Roman" w:cs="Times New Roman"/>
          <w:color w:val="000000"/>
          <w:sz w:val="18"/>
          <w:szCs w:val="18"/>
        </w:rPr>
        <w:t>devono essere debitamente certificati dall’Autorità diplomatica italiana nello Stato estero</w:t>
      </w:r>
    </w:p>
    <w:p w14:paraId="7568CB6D"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L’anzianità di cui alla lettera B) comprende anche il servizio non di ruolo prestato per almeno 180 giorni o ininterrottamente dal 1 febbraio fino al termine delle operazioni di scrutinio finale o, in quanto riconoscibile, per la scuola dell’infanzia, fino al termine delle attività educative, compreso quello militare o il sostitutivo servizio civile, nei limiti previsti dagli artt. 485, 487 e 490 del D.L.vo n. 297/94 ai fini della valutabilità per la carriera ovvero il servizio </w:t>
      </w:r>
      <w:proofErr w:type="spellStart"/>
      <w:r>
        <w:rPr>
          <w:rFonts w:ascii="Times New Roman" w:eastAsia="Times New Roman" w:hAnsi="Times New Roman" w:cs="Times New Roman"/>
          <w:color w:val="000000"/>
          <w:sz w:val="18"/>
          <w:szCs w:val="18"/>
        </w:rPr>
        <w:t>pre</w:t>
      </w:r>
      <w:proofErr w:type="spellEnd"/>
      <w:r>
        <w:rPr>
          <w:rFonts w:ascii="Times New Roman" w:eastAsia="Times New Roman" w:hAnsi="Times New Roman" w:cs="Times New Roman"/>
          <w:color w:val="000000"/>
          <w:sz w:val="18"/>
          <w:szCs w:val="18"/>
        </w:rPr>
        <w:t>-ruolo prestato senza il prescritto titolo di specializzazione in scuole speciali o su posti di sostegno. Si rammenta che il servizio militare di leva, o il sostitutivo servizio civile, può essere valutato solo se prestato in costanza di rapporto di impiego come docente a tempo determinato nella scuola statale. Il servizio prestato in qualità di incaricato ex art. 36 del CCNL 29/11/2007 è da valutare con lo stesso punteggio previsto per il servizio non di ruolo. Tale servizio, qualora abbia avuto una durata superiore a 180 gg interrompe la continuità.</w:t>
      </w:r>
    </w:p>
    <w:p w14:paraId="50511E51"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La valutazione del servizio di cui alle lettere A), A1) e B) è riconosciuta anche al personale proveniente dagli Enti Locali e che abbia svolto, prima del trasferimento allo Stato, effettivo servizio di docente nelle scuole statali. Per gli insegnanti di educazione fisica non è riconoscibile il servizio prestato senza il possesso del diploma rilasciato dall’I.S.E.F. o di titoli equipollenti secondo l’ordinamento anteriore alla legge 7.2.1958, n. 88 (tab. A, classe A029 e A 030 D.M. 30.1.1998 n. 39 e successive modifiche). </w:t>
      </w:r>
    </w:p>
    <w:p w14:paraId="5304DDDE"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La valutazione degli anni del servizio </w:t>
      </w:r>
      <w:proofErr w:type="spellStart"/>
      <w:r>
        <w:rPr>
          <w:rFonts w:ascii="Times New Roman" w:eastAsia="Times New Roman" w:hAnsi="Times New Roman" w:cs="Times New Roman"/>
          <w:color w:val="000000"/>
          <w:sz w:val="18"/>
          <w:szCs w:val="18"/>
        </w:rPr>
        <w:t>pre</w:t>
      </w:r>
      <w:proofErr w:type="spellEnd"/>
      <w:r>
        <w:rPr>
          <w:rFonts w:ascii="Times New Roman" w:eastAsia="Times New Roman" w:hAnsi="Times New Roman" w:cs="Times New Roman"/>
          <w:color w:val="000000"/>
          <w:sz w:val="18"/>
          <w:szCs w:val="18"/>
        </w:rPr>
        <w:t xml:space="preserve">-ruolo nella mobilità a domanda viene effettuata per intero (6 punti per ogni anno). Nella mobilità d’ufficio viene effettuata nella seguente </w:t>
      </w:r>
      <w:proofErr w:type="gramStart"/>
      <w:r>
        <w:rPr>
          <w:rFonts w:ascii="Times New Roman" w:eastAsia="Times New Roman" w:hAnsi="Times New Roman" w:cs="Times New Roman"/>
          <w:color w:val="000000"/>
          <w:sz w:val="18"/>
          <w:szCs w:val="18"/>
        </w:rPr>
        <w:t>maniera:-</w:t>
      </w:r>
      <w:proofErr w:type="gramEnd"/>
      <w:r>
        <w:rPr>
          <w:rFonts w:ascii="Times New Roman" w:eastAsia="Times New Roman" w:hAnsi="Times New Roman" w:cs="Times New Roman"/>
          <w:color w:val="000000"/>
          <w:sz w:val="18"/>
          <w:szCs w:val="18"/>
        </w:rPr>
        <w:t xml:space="preserve"> i primi 4 anni sono valutati 3 punti per ogni anno - il periodo eccedente i 4 anni è valutato per i 2/3 (due punti per ogni anno).</w:t>
      </w:r>
    </w:p>
    <w:p w14:paraId="7CC082AF"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Nel caso della mobilità d’ufficio, ad esempio, il docente che ha prestato 6 anni di servizio </w:t>
      </w:r>
      <w:proofErr w:type="spellStart"/>
      <w:r>
        <w:rPr>
          <w:rFonts w:ascii="Times New Roman" w:eastAsia="Times New Roman" w:hAnsi="Times New Roman" w:cs="Times New Roman"/>
          <w:color w:val="000000"/>
          <w:sz w:val="18"/>
          <w:szCs w:val="18"/>
        </w:rPr>
        <w:t>pre</w:t>
      </w:r>
      <w:proofErr w:type="spellEnd"/>
      <w:r>
        <w:rPr>
          <w:rFonts w:ascii="Times New Roman" w:eastAsia="Times New Roman" w:hAnsi="Times New Roman" w:cs="Times New Roman"/>
          <w:color w:val="000000"/>
          <w:sz w:val="18"/>
          <w:szCs w:val="18"/>
        </w:rPr>
        <w:t>-ruolo, che viene riconosciuto o riconoscibile ai fini della progressione di carriera nella misura di 5 anni e 4 mesi, ha diritto, per tale servizio, all’attribuzione di punti 16 derivanti dal seguente calcolo:</w:t>
      </w:r>
    </w:p>
    <w:p w14:paraId="00626924"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primi 4 anni (valutati per intero) </w:t>
      </w:r>
      <w:r>
        <w:rPr>
          <w:rFonts w:ascii="Symbol" w:eastAsia="Symbol" w:hAnsi="Symbol" w:cs="Symbol"/>
          <w:color w:val="000000"/>
          <w:sz w:val="18"/>
          <w:szCs w:val="18"/>
        </w:rPr>
        <w:t>⇒</w:t>
      </w:r>
      <w:r>
        <w:rPr>
          <w:rFonts w:ascii="Times New Roman" w:eastAsia="Times New Roman" w:hAnsi="Times New Roman" w:cs="Times New Roman"/>
          <w:color w:val="000000"/>
          <w:sz w:val="18"/>
          <w:szCs w:val="18"/>
        </w:rPr>
        <w:t xml:space="preserve"> 4 anni x 3 punti = 12 punti</w:t>
      </w:r>
    </w:p>
    <w:p w14:paraId="5A683D67"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u w:val="single"/>
        </w:rPr>
      </w:pPr>
      <w:r>
        <w:rPr>
          <w:rFonts w:ascii="Times New Roman" w:eastAsia="Times New Roman" w:hAnsi="Times New Roman" w:cs="Times New Roman"/>
          <w:color w:val="000000"/>
          <w:sz w:val="18"/>
          <w:szCs w:val="18"/>
          <w:u w:val="single"/>
        </w:rPr>
        <w:t xml:space="preserve">rimanenti 2 anni (valutati due terzi) </w:t>
      </w:r>
      <w:r>
        <w:rPr>
          <w:rFonts w:ascii="Symbol" w:eastAsia="Symbol" w:hAnsi="Symbol" w:cs="Symbol"/>
          <w:color w:val="000000"/>
          <w:sz w:val="18"/>
          <w:szCs w:val="18"/>
          <w:u w:val="single"/>
        </w:rPr>
        <w:t>⇒</w:t>
      </w:r>
      <w:r>
        <w:rPr>
          <w:rFonts w:ascii="Times New Roman" w:eastAsia="Times New Roman" w:hAnsi="Times New Roman" w:cs="Times New Roman"/>
          <w:color w:val="000000"/>
          <w:sz w:val="18"/>
          <w:szCs w:val="18"/>
          <w:u w:val="single"/>
        </w:rPr>
        <w:t xml:space="preserve"> 2/3 x 2 anni x 3 punti = 4 punti</w:t>
      </w:r>
    </w:p>
    <w:p w14:paraId="6C088284"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totale: 12 punti + 4 punti </w:t>
      </w:r>
      <w:r>
        <w:rPr>
          <w:rFonts w:ascii="Symbol" w:eastAsia="Symbol" w:hAnsi="Symbol" w:cs="Symbol"/>
          <w:color w:val="000000"/>
          <w:sz w:val="18"/>
          <w:szCs w:val="18"/>
        </w:rPr>
        <w:t>⇒</w:t>
      </w:r>
      <w:r>
        <w:rPr>
          <w:rFonts w:ascii="Times New Roman" w:eastAsia="Times New Roman" w:hAnsi="Times New Roman" w:cs="Times New Roman"/>
          <w:color w:val="000000"/>
          <w:sz w:val="18"/>
          <w:szCs w:val="18"/>
        </w:rPr>
        <w:t xml:space="preserve"> 16 punti.</w:t>
      </w:r>
    </w:p>
    <w:p w14:paraId="1D83F1F9"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Oltre che per i docenti delle scuole ed istituti di istruzione di II grado ed artistica,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 </w:t>
      </w:r>
    </w:p>
    <w:p w14:paraId="69E6A636"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 </w:t>
      </w:r>
    </w:p>
    <w:p w14:paraId="50834DC4"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lastRenderedPageBreak/>
        <w:t>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 Capo VII - Congedi per la malattia del figlio) devono essere computati nell’anzianità di servizio a tutti gli effetti.</w:t>
      </w:r>
    </w:p>
    <w:p w14:paraId="584B4479"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Al personale docente di ruolo che abbia frequentato, ai sensi dell’art. 2 della legge 13.8.1984, n. 476, i corsi di dottorato di ricerca e al personale docente di ruolo assegnatario di borse di studio o assegni di ricerca - a norma dell’art. 453 del D.L.vo 16.4.1994 n. 297 - da parte di amministrazioni statali, di enti pubblici, di stati od enti stranieri, di organismi ed enti internazionali, è riconosciuto il periodo di durata del corso o della borsa di studio come effettivo servizio di ruolo e quindi valutato ai fini del trasferimento a domanda o d’ufficio ai sensi della lettera A), se si è in servizio nello stesso ruolo, mentre è valutato ai sensi della lettera B) nella parte relativa al servizio in altro ruolo, del titolo I delle tabelle di valutazione. Analogamente sono riconosciuti utili gli anni di servizio come ricercatore a tempo determinato del personale docente già di ruolo, ai sensi della legge 240/10 e </w:t>
      </w:r>
      <w:proofErr w:type="spellStart"/>
      <w:r>
        <w:rPr>
          <w:rFonts w:ascii="Times New Roman" w:eastAsia="Times New Roman" w:hAnsi="Times New Roman" w:cs="Times New Roman"/>
          <w:color w:val="000000"/>
          <w:sz w:val="18"/>
          <w:szCs w:val="18"/>
        </w:rPr>
        <w:t>s.i.m</w:t>
      </w:r>
      <w:proofErr w:type="spellEnd"/>
      <w:r>
        <w:rPr>
          <w:rFonts w:ascii="Times New Roman" w:eastAsia="Times New Roman" w:hAnsi="Times New Roman" w:cs="Times New Roman"/>
          <w:color w:val="000000"/>
          <w:sz w:val="18"/>
          <w:szCs w:val="18"/>
        </w:rPr>
        <w:t>. art 24 comma 9bis. Tale riconoscimento avviene tenuto conto della circostanza che il periodo di questo tipo di congedo straordinario è utile ai fini della progressione di carriera, del trattamento di quiescenza e di previdenza. Detto periodo non va valutato ai fini dell’attribuzione del punteggio concernente la continuità del servizio nella stessa scuola, né nel comune.</w:t>
      </w:r>
    </w:p>
    <w:p w14:paraId="5A8EC1DA"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Il servizio prestato nelle scuole paritarie non è valutabile in quanto non riconoscibile ai fini della ricostruzione di carriera. È fatto salvo il riconoscimento del servizio prestato: </w:t>
      </w:r>
    </w:p>
    <w:p w14:paraId="31AFB79D"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a) fino al 31.8.2008 nelle scuole paritarie primarie che abbiano mantenuto lo status di parificate congiuntamente a quello di paritarie</w:t>
      </w:r>
    </w:p>
    <w:p w14:paraId="3D23DFB2"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b) nelle scuole paritarie dell’infanzia comunali </w:t>
      </w:r>
    </w:p>
    <w:p w14:paraId="24498B74"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c) nelle scuole secondarie pareggiate (art. 360 del T.U.).</w:t>
      </w:r>
    </w:p>
    <w:p w14:paraId="3477A82C" w14:textId="77777777" w:rsidR="00171DE6" w:rsidRDefault="00171DE6">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p>
    <w:p w14:paraId="6D7B8150" w14:textId="77777777" w:rsidR="00171DE6" w:rsidRDefault="00BF7655">
      <w:pPr>
        <w:pStyle w:val="Normale1"/>
        <w:pBdr>
          <w:top w:val="nil"/>
          <w:left w:val="nil"/>
          <w:bottom w:val="nil"/>
          <w:right w:val="nil"/>
          <w:between w:val="nil"/>
        </w:pBdr>
        <w:ind w:hanging="567"/>
        <w:jc w:val="both"/>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Note</w:t>
      </w:r>
    </w:p>
    <w:p w14:paraId="361CD864"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vertAlign w:val="superscript"/>
        </w:rPr>
        <w:t>(1)</w:t>
      </w:r>
      <w:r>
        <w:rPr>
          <w:rFonts w:ascii="Times New Roman" w:eastAsia="Times New Roman" w:hAnsi="Times New Roman" w:cs="Times New Roman"/>
          <w:color w:val="000000"/>
          <w:sz w:val="18"/>
          <w:szCs w:val="18"/>
        </w:rPr>
        <w:t xml:space="preserve"> Il ruolo di appartenenza va riferito rispettivamente: a) alla scuola dell’infanzia; b) alla scuola primaria; c) alla scuola secondaria di I grado; d) agli istituti di istruzione secondaria di II grado e artistica. Va valutato nella misura prevista dalla presente voce il servizio prestato, a decorrere dall’anno scolastico 1978/79, dalle assistenti di scuola materna statale utilizzate, ai sensi dell’articolo 8 della legge n. 463/78, come insegnanti di scuola materna. Va valutato nella misura prevista dalla presente voce anche il servizio prestato dal personale durante il periodo di collocamento fuori ruolo ai sensi dell’art. 23 comma 5 del CCNL sottoscritto il 4/8/1995, dell’art. 17 comma 5 del CCNL sottoscritto il 24/7/2003 e dell’art. 17, comma 5, del CCNL sottoscritto il 29.11.2007. 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il punteggio è raddoppiato. Relativamente ai docenti delle scuole primarie, per ogni anno di insegnamento</w:t>
      </w:r>
      <w:r>
        <w:rPr>
          <w:rFonts w:ascii="Times New Roman" w:eastAsia="Times New Roman" w:hAnsi="Times New Roman" w:cs="Times New Roman"/>
          <w:strike/>
          <w:color w:val="000000"/>
          <w:sz w:val="18"/>
          <w:szCs w:val="18"/>
        </w:rPr>
        <w:t xml:space="preserve"> </w:t>
      </w:r>
      <w:r>
        <w:rPr>
          <w:rFonts w:ascii="Times New Roman" w:eastAsia="Times New Roman" w:hAnsi="Times New Roman" w:cs="Times New Roman"/>
          <w:color w:val="000000"/>
          <w:sz w:val="18"/>
          <w:szCs w:val="18"/>
        </w:rPr>
        <w:t>nelle scuole di montagna ai sensi della legge 1/3/1957, n. 90, il punteggio è raddoppiato. Per l’attribuzione del punteggio si prescinde dal requisito della residenza in sede. Per ogni anno di servizio prestato nei paesi in via di sviluppo il punteggio è raddoppiato.</w:t>
      </w:r>
    </w:p>
    <w:p w14:paraId="0BA657C3"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vertAlign w:val="superscript"/>
        </w:rPr>
        <w:t>(2)</w:t>
      </w:r>
      <w:r>
        <w:rPr>
          <w:rFonts w:ascii="Times New Roman" w:eastAsia="Times New Roman" w:hAnsi="Times New Roman" w:cs="Times New Roman"/>
          <w:color w:val="000000"/>
          <w:sz w:val="18"/>
          <w:szCs w:val="18"/>
        </w:rPr>
        <w:t xml:space="preserve"> 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14:paraId="078188BE"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vertAlign w:val="superscript"/>
        </w:rPr>
        <w:t>(3)</w:t>
      </w:r>
      <w:r>
        <w:rPr>
          <w:rFonts w:ascii="Times New Roman" w:eastAsia="Times New Roman" w:hAnsi="Times New Roman" w:cs="Times New Roman"/>
          <w:color w:val="000000"/>
          <w:sz w:val="18"/>
          <w:szCs w:val="18"/>
        </w:rPr>
        <w:t xml:space="preserve"> La dizione “piccole isole” è comprensiva di tutte le isole del territorio italiano, ad eccezione, ovviamente, delle due isole maggiori (Sicilia e Sardegna). Il punteggio aggiuntivo previsto per il servizio prestato nelle piccole isole è attribuito indipendentemente dal luogo di residenza dell’interessato. </w:t>
      </w:r>
    </w:p>
    <w:p w14:paraId="0F679DA5"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vertAlign w:val="superscript"/>
        </w:rPr>
        <w:t>(4)</w:t>
      </w:r>
      <w:r>
        <w:rPr>
          <w:rFonts w:ascii="Times New Roman" w:eastAsia="Times New Roman" w:hAnsi="Times New Roman" w:cs="Times New Roman"/>
          <w:color w:val="000000"/>
          <w:sz w:val="18"/>
          <w:szCs w:val="18"/>
        </w:rPr>
        <w:t xml:space="preserve"> L’anzianità derivante da decorrenza giuridica della nomina anteriore alla decorrenza economica, se non è stato prestato alcun servizio è valutata 3 punti per ogni anno per tutti gli anni sia nella mobilità d’ufficio che in quella a domanda. L’anzianità derivante da decorrenza giuridica della nomina anteriore alla decorrenza economica se il servizio non è stato prestato nel ruolo di appartenenza è valutata 6 punti nella mobilità a domanda e 3 punti per ogni anno per tutti gli anni nella mobilità d’ufficio. Nella mobilità a domanda il servizio </w:t>
      </w:r>
      <w:proofErr w:type="spellStart"/>
      <w:r>
        <w:rPr>
          <w:rFonts w:ascii="Times New Roman" w:eastAsia="Times New Roman" w:hAnsi="Times New Roman" w:cs="Times New Roman"/>
          <w:color w:val="000000"/>
          <w:sz w:val="18"/>
          <w:szCs w:val="18"/>
        </w:rPr>
        <w:t>pre</w:t>
      </w:r>
      <w:proofErr w:type="spellEnd"/>
      <w:r>
        <w:rPr>
          <w:rFonts w:ascii="Times New Roman" w:eastAsia="Times New Roman" w:hAnsi="Times New Roman" w:cs="Times New Roman"/>
          <w:color w:val="000000"/>
          <w:sz w:val="18"/>
          <w:szCs w:val="18"/>
        </w:rPr>
        <w:t xml:space="preserve"> ruolo e un precedente servizio di altro ruolo è valutato 6 punti per ogni anno per tutti gli anni. Il servizio </w:t>
      </w:r>
      <w:proofErr w:type="spellStart"/>
      <w:r>
        <w:rPr>
          <w:rFonts w:ascii="Times New Roman" w:eastAsia="Times New Roman" w:hAnsi="Times New Roman" w:cs="Times New Roman"/>
          <w:color w:val="000000"/>
          <w:sz w:val="18"/>
          <w:szCs w:val="18"/>
        </w:rPr>
        <w:t>pre</w:t>
      </w:r>
      <w:proofErr w:type="spellEnd"/>
      <w:r>
        <w:rPr>
          <w:rFonts w:ascii="Times New Roman" w:eastAsia="Times New Roman" w:hAnsi="Times New Roman" w:cs="Times New Roman"/>
          <w:color w:val="000000"/>
          <w:sz w:val="18"/>
          <w:szCs w:val="18"/>
        </w:rPr>
        <w:t xml:space="preserve"> ruolo ai fini della compilazione delle graduatorie interne per l’individuazione del perdente posto continua ad essere valutato 3 punti per i primi quattro anni e 2 per i successivi.</w:t>
      </w:r>
      <w:r>
        <w:rPr>
          <w:rFonts w:ascii="Times New Roman" w:eastAsia="Times New Roman" w:hAnsi="Times New Roman" w:cs="Times New Roman"/>
          <w:color w:val="FF0000"/>
          <w:sz w:val="18"/>
          <w:szCs w:val="18"/>
        </w:rPr>
        <w:t xml:space="preserve"> </w:t>
      </w:r>
      <w:r>
        <w:rPr>
          <w:rFonts w:ascii="Times New Roman" w:eastAsia="Times New Roman" w:hAnsi="Times New Roman" w:cs="Times New Roman"/>
          <w:color w:val="000000"/>
          <w:sz w:val="18"/>
          <w:szCs w:val="18"/>
        </w:rPr>
        <w:t xml:space="preserve">Nella mobilità d’ufficio in merito alla valutazione di un precedente servizio di ruolo, prestato in un ruolo diverso, si precisa che gli anni di servizio di ruolo prestati nella scuola dell’infanzia si valutano per intero (3 punti per ogni anno per tutti gli anni) ai sensi della presente voce, nella scuola primaria (e viceversa), mentre si sommano al </w:t>
      </w:r>
      <w:proofErr w:type="spellStart"/>
      <w:r>
        <w:rPr>
          <w:rFonts w:ascii="Times New Roman" w:eastAsia="Times New Roman" w:hAnsi="Times New Roman" w:cs="Times New Roman"/>
          <w:color w:val="000000"/>
          <w:sz w:val="18"/>
          <w:szCs w:val="18"/>
        </w:rPr>
        <w:t>pre</w:t>
      </w:r>
      <w:proofErr w:type="spellEnd"/>
      <w:r>
        <w:rPr>
          <w:rFonts w:ascii="Times New Roman" w:eastAsia="Times New Roman" w:hAnsi="Times New Roman" w:cs="Times New Roman"/>
          <w:color w:val="000000"/>
          <w:sz w:val="18"/>
          <w:szCs w:val="18"/>
        </w:rPr>
        <w:t xml:space="preserve">-ruolo e si valutano come </w:t>
      </w:r>
      <w:proofErr w:type="spellStart"/>
      <w:r>
        <w:rPr>
          <w:rFonts w:ascii="Times New Roman" w:eastAsia="Times New Roman" w:hAnsi="Times New Roman" w:cs="Times New Roman"/>
          <w:color w:val="000000"/>
          <w:sz w:val="18"/>
          <w:szCs w:val="18"/>
        </w:rPr>
        <w:t>pre</w:t>
      </w:r>
      <w:proofErr w:type="spellEnd"/>
      <w:r>
        <w:rPr>
          <w:rFonts w:ascii="Times New Roman" w:eastAsia="Times New Roman" w:hAnsi="Times New Roman" w:cs="Times New Roman"/>
          <w:color w:val="000000"/>
          <w:sz w:val="18"/>
          <w:szCs w:val="18"/>
        </w:rPr>
        <w:t xml:space="preserve">-ruolo (3 punti per i primi quattro anni e 2 per i successivi), analogamente al ruolo della scuola primaria, nella scuola secondaria sia di primo che di secondo grado. Gli anni di un precedente servizio di ruolo prestato nella scuola secondaria di primo grado si valutano per intero (3 punti per ogni anno per tutti gli anni), sempre ai sensi della presente voce, nella scuola secondaria di secondo grado (e viceversa), mentre si sommano agli anni di </w:t>
      </w:r>
      <w:proofErr w:type="spellStart"/>
      <w:r>
        <w:rPr>
          <w:rFonts w:ascii="Times New Roman" w:eastAsia="Times New Roman" w:hAnsi="Times New Roman" w:cs="Times New Roman"/>
          <w:color w:val="000000"/>
          <w:sz w:val="18"/>
          <w:szCs w:val="18"/>
        </w:rPr>
        <w:t>pre</w:t>
      </w:r>
      <w:proofErr w:type="spellEnd"/>
      <w:r>
        <w:rPr>
          <w:rFonts w:ascii="Times New Roman" w:eastAsia="Times New Roman" w:hAnsi="Times New Roman" w:cs="Times New Roman"/>
          <w:color w:val="000000"/>
          <w:sz w:val="18"/>
          <w:szCs w:val="18"/>
        </w:rPr>
        <w:t xml:space="preserve">-ruolo e si valutano come </w:t>
      </w:r>
      <w:proofErr w:type="spellStart"/>
      <w:r>
        <w:rPr>
          <w:rFonts w:ascii="Times New Roman" w:eastAsia="Times New Roman" w:hAnsi="Times New Roman" w:cs="Times New Roman"/>
          <w:color w:val="000000"/>
          <w:sz w:val="18"/>
          <w:szCs w:val="18"/>
        </w:rPr>
        <w:t>pre</w:t>
      </w:r>
      <w:proofErr w:type="spellEnd"/>
      <w:r>
        <w:rPr>
          <w:rFonts w:ascii="Times New Roman" w:eastAsia="Times New Roman" w:hAnsi="Times New Roman" w:cs="Times New Roman"/>
          <w:color w:val="000000"/>
          <w:sz w:val="18"/>
          <w:szCs w:val="18"/>
        </w:rPr>
        <w:t xml:space="preserve">-ruolo (3 punti per i primi quattro anni e 2 per i successivi) se attualmente si è titolari nella scuola primaria o nella scuola dell’infanzia. Nella misura della presente voce è valutato anche il servizio </w:t>
      </w:r>
      <w:proofErr w:type="spellStart"/>
      <w:r>
        <w:rPr>
          <w:rFonts w:ascii="Times New Roman" w:eastAsia="Times New Roman" w:hAnsi="Times New Roman" w:cs="Times New Roman"/>
          <w:color w:val="000000"/>
          <w:sz w:val="18"/>
          <w:szCs w:val="18"/>
        </w:rPr>
        <w:t>pre</w:t>
      </w:r>
      <w:proofErr w:type="spellEnd"/>
      <w:r>
        <w:rPr>
          <w:rFonts w:ascii="Times New Roman" w:eastAsia="Times New Roman" w:hAnsi="Times New Roman" w:cs="Times New Roman"/>
          <w:color w:val="000000"/>
          <w:sz w:val="18"/>
          <w:szCs w:val="18"/>
        </w:rPr>
        <w:t xml:space="preserve">-ruolo prestato per almeno 180 giorni o ininterrottamente dal 1 febbraio fino al termine delle operazioni di scrutinio finale o, in quanto riconoscibile, per la scuola materna, fino al termine delle attività educative, nei limiti previsti dagli artt. 485, 490 del D.L.vo n. 297/94 ai fini della valutabilità per la carriera, nonché il servizio prestato in altro ruolo riconosciuto o riconoscibile ai fini della carriera ai sensi del D.L. 19/6/70 n. 370, convertito con modificazioni nella legge 26/7/70 n. 576 e successive integrazioni, ovvero il servizio </w:t>
      </w:r>
      <w:proofErr w:type="spellStart"/>
      <w:r>
        <w:rPr>
          <w:rFonts w:ascii="Times New Roman" w:eastAsia="Times New Roman" w:hAnsi="Times New Roman" w:cs="Times New Roman"/>
          <w:color w:val="000000"/>
          <w:sz w:val="18"/>
          <w:szCs w:val="18"/>
        </w:rPr>
        <w:t>pre</w:t>
      </w:r>
      <w:proofErr w:type="spellEnd"/>
      <w:r>
        <w:rPr>
          <w:rFonts w:ascii="Times New Roman" w:eastAsia="Times New Roman" w:hAnsi="Times New Roman" w:cs="Times New Roman"/>
          <w:color w:val="000000"/>
          <w:sz w:val="18"/>
          <w:szCs w:val="18"/>
        </w:rPr>
        <w:t xml:space="preserve">-ruolo prestato senza il prescritto titolo di specializzazione in scuole speciali o su posti di sostegno. Per ogni anno di insegnamento prestato, con il possesso del prescritto titolo di specializzazione, nelle scuole speciali o ad indirizzo didattico differenziato o nelle classi differenziali, o nei posti di sostegno, o nelle ex DOS, qualora il trasferimento a domanda o d’ufficio sia richiesto indifferentemente sia per le scuole speciali, sia per quelle a indirizzo didattico differenziato sia, infine, per posti di sostegno il punteggio è raddoppiato. Relativamente agli insegnanti di scuole primarie, per ogni anno di insegnamento in scuola di montagna ai sensi della legge 1/3/1957, n. 90, il punteggio è raddoppiato. Per l’attribuzione del punteggio si prescinde dal requisito della residenza in sede. Va valutato nella misura prevista dalla presente voce il servizio dei docenti appartenenti al ruolo dei laureati degli istituti di istruzione secondaria di II grado e artistica, prestato precedentemente nel ruolo dei diplomati e viceversa. Il servizio prestato in qualità di assistente nei licei artistici, va considerato come servizio prestato nel </w:t>
      </w:r>
      <w:r>
        <w:rPr>
          <w:rFonts w:ascii="Times New Roman" w:eastAsia="Times New Roman" w:hAnsi="Times New Roman" w:cs="Times New Roman"/>
          <w:color w:val="000000"/>
          <w:sz w:val="18"/>
          <w:szCs w:val="18"/>
        </w:rPr>
        <w:lastRenderedPageBreak/>
        <w:t xml:space="preserve">ruolo dei docenti diplomati. Nella stessa misura va valutato, altresì, il servizio del personale educativo transitato nel ruolo degli insegnanti della scuola primaria e viceversa. </w:t>
      </w:r>
    </w:p>
    <w:p w14:paraId="15177466"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vertAlign w:val="superscript"/>
        </w:rPr>
        <w:t>(5)</w:t>
      </w:r>
      <w:r>
        <w:rPr>
          <w:rFonts w:ascii="Times New Roman" w:eastAsia="Times New Roman" w:hAnsi="Times New Roman" w:cs="Times New Roman"/>
          <w:color w:val="000000"/>
          <w:sz w:val="18"/>
          <w:szCs w:val="18"/>
        </w:rPr>
        <w:t xml:space="preserve"> La continuità del servizio prestato ininterrottamente da almeno un triennio nella scuola di attuale titolarità ovvero nella scuola di servizio per il personale ex titolare di Dotazione Organica di Sostegno (DOS) nella scuola secondaria di II grado (lettera C, del titolo I della tabella di valutazione dei trasferimenti) deve essere attestata dall’interessato con apposita dichiarazione personale. Il primo anno del triennio per l’attribuzione del punteggio per la continuità al personale ex DOS decorre a partire dall’anno scolastico 2003/2004. Il primo anno del triennio per l’attribuzione del punteggio per la continuità ai docenti di religione cattolica decorre a partire </w:t>
      </w:r>
      <w:proofErr w:type="spellStart"/>
      <w:r>
        <w:rPr>
          <w:rFonts w:ascii="Times New Roman" w:eastAsia="Times New Roman" w:hAnsi="Times New Roman" w:cs="Times New Roman"/>
          <w:color w:val="000000"/>
          <w:sz w:val="18"/>
          <w:szCs w:val="18"/>
        </w:rPr>
        <w:t>dall’a.s.</w:t>
      </w:r>
      <w:proofErr w:type="spellEnd"/>
      <w:r>
        <w:rPr>
          <w:rFonts w:ascii="Times New Roman" w:eastAsia="Times New Roman" w:hAnsi="Times New Roman" w:cs="Times New Roman"/>
          <w:color w:val="000000"/>
          <w:sz w:val="18"/>
          <w:szCs w:val="18"/>
        </w:rPr>
        <w:t xml:space="preserve"> 2009/2010. L’introduzione </w:t>
      </w:r>
      <w:proofErr w:type="spellStart"/>
      <w:r>
        <w:rPr>
          <w:rFonts w:ascii="Times New Roman" w:eastAsia="Times New Roman" w:hAnsi="Times New Roman" w:cs="Times New Roman"/>
          <w:color w:val="000000"/>
          <w:sz w:val="18"/>
          <w:szCs w:val="18"/>
        </w:rPr>
        <w:t>nell’a.s.</w:t>
      </w:r>
      <w:proofErr w:type="spellEnd"/>
      <w:r>
        <w:rPr>
          <w:rFonts w:ascii="Times New Roman" w:eastAsia="Times New Roman" w:hAnsi="Times New Roman" w:cs="Times New Roman"/>
          <w:color w:val="000000"/>
          <w:sz w:val="18"/>
          <w:szCs w:val="18"/>
        </w:rPr>
        <w:t xml:space="preserve"> 1998/99 dell’organico di circolo, per la scuola primaria, e </w:t>
      </w:r>
      <w:proofErr w:type="spellStart"/>
      <w:r>
        <w:rPr>
          <w:rFonts w:ascii="Times New Roman" w:eastAsia="Times New Roman" w:hAnsi="Times New Roman" w:cs="Times New Roman"/>
          <w:color w:val="000000"/>
          <w:sz w:val="18"/>
          <w:szCs w:val="18"/>
        </w:rPr>
        <w:t>nell’a.s.</w:t>
      </w:r>
      <w:proofErr w:type="spellEnd"/>
      <w:r>
        <w:rPr>
          <w:rFonts w:ascii="Times New Roman" w:eastAsia="Times New Roman" w:hAnsi="Times New Roman" w:cs="Times New Roman"/>
          <w:color w:val="000000"/>
          <w:sz w:val="18"/>
          <w:szCs w:val="18"/>
        </w:rPr>
        <w:t xml:space="preserve">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Analogamente non costituisce soluzione di continuità l’introduzione dell’organico unico dell’autonomia, con l’automatica attribuzione della titolarità su codice unico in tutte le situazioni in cui era distinto.</w:t>
      </w:r>
      <w:r>
        <w:rPr>
          <w:rFonts w:ascii="Times New Roman" w:eastAsia="Times New Roman" w:hAnsi="Times New Roman" w:cs="Times New Roman"/>
          <w:color w:val="FF0000"/>
          <w:sz w:val="18"/>
          <w:szCs w:val="18"/>
        </w:rPr>
        <w:t xml:space="preserve"> </w:t>
      </w:r>
      <w:r>
        <w:rPr>
          <w:rFonts w:ascii="Times New Roman" w:eastAsia="Times New Roman" w:hAnsi="Times New Roman" w:cs="Times New Roman"/>
          <w:color w:val="000000"/>
          <w:sz w:val="18"/>
          <w:szCs w:val="18"/>
        </w:rPr>
        <w:t xml:space="preserve">Il trasferimento ottenuto precedentemente all’introduzione dell’organico tra plessi dello stesso circolo interrompe la continuità di servizio. Per la scuola primaria, il trasferimento tra i posti dell’organico (comune e lingua) nello stesso circolo non interrompe la continuità di servizio. Si precisa che, per l’attribuzione del punteggio previsto dal presente comma, devono concorrere, per gli anni considerati, la titolarità nel tipo di posto (comune ovvero sostegno a prescindere dalla tipologia di disabilità) o - per le scuole ed istituti di istruzione secondaria di I e II grado ed artistica - nella classe di concorso di attuale appartenenza (con esclusione sia del periodo di servizio </w:t>
      </w:r>
      <w:proofErr w:type="spellStart"/>
      <w:r>
        <w:rPr>
          <w:rFonts w:ascii="Times New Roman" w:eastAsia="Times New Roman" w:hAnsi="Times New Roman" w:cs="Times New Roman"/>
          <w:color w:val="000000"/>
          <w:sz w:val="18"/>
          <w:szCs w:val="18"/>
        </w:rPr>
        <w:t>pre</w:t>
      </w:r>
      <w:proofErr w:type="spellEnd"/>
      <w:r>
        <w:rPr>
          <w:rFonts w:ascii="Times New Roman" w:eastAsia="Times New Roman" w:hAnsi="Times New Roman" w:cs="Times New Roman"/>
          <w:color w:val="000000"/>
          <w:sz w:val="18"/>
          <w:szCs w:val="18"/>
        </w:rPr>
        <w:t>-ruolo sia del periodo coperto da decorrenza giuridica retroattiva della nomina) e la prestazione del servizio presso la scuola o plesso di titolarità. Per i docenti titolari di posti per l’istruzione e la formazione dell’età adulta attivati presso i centri provinciali per l’istruzione degli adulti ai sensi di quanto disposto dal D.P.R. n. 263/2012 ai fini dell’assegnazione del punteggio per la continuità del servizio, va fatto riferimento alla titolarità del posto per l’istruzione e la formazione dell’età adulta a suo tempo individuati a livello di distretto o comunque nelle sedi di organico confluite nei C.P.I.A. Per i docenti titolari in istituti in cui sono presenti corsi serali e, analogamente, per i docenti titolari in corsi serali la continuità didattica è riferita esclusivamente al servizio prestato sullo stesso tipo organico di titolarità (o diurno o serale). Da tale ultimo requisito si prescinde limitatamente al solo personale beneficiario della precedenza di cui all’art. 13, titolo I, punto II), - Personale trasferito d’ufficio nell’ultimo ottennio del presente contratto. Il punteggio in questione va attribuito anche in tutti i casi in cui il periodo di mancata prestazione del servizio nella scuola o plesso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D.L.vo n. 151/01, per servizio militare di leva o per il sostitutivo servizio civile, per mandato politico ed amministrativo, nel caso di utilizzazioni (ivi compresa quella nei licei musicali), di esoneri dal servizio previsti dalla legge per i componenti del Consiglio Nazionale della P.I. e del Consiglio Superiore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D.L. 28/8/2000, n. 240, convertito con modificazioni nella legge 27/10/2000, n. 306, per il servizio prestato nelle scuole militari nonché per il periodo di servizio prestato nei progetti previsti dall’art 1 comma 65 della legge 107/15. Analogamente all’assenza per malattia, non interrompe la continuità del servizio l’utilizzazione in altri compiti per inidoneità temporanea. Non interrompe la maturazione del punteggio della continuità neanche la fruizione del congedo biennale per l’assistenza a familiari con grave disabilità di cui all’art. 5 del D.</w:t>
      </w:r>
      <w:proofErr w:type="gramStart"/>
      <w:r>
        <w:rPr>
          <w:rFonts w:ascii="Times New Roman" w:eastAsia="Times New Roman" w:hAnsi="Times New Roman" w:cs="Times New Roman"/>
          <w:color w:val="000000"/>
          <w:sz w:val="18"/>
          <w:szCs w:val="18"/>
        </w:rPr>
        <w:t>L.vo</w:t>
      </w:r>
      <w:proofErr w:type="gramEnd"/>
      <w:r>
        <w:rPr>
          <w:rFonts w:ascii="Times New Roman" w:eastAsia="Times New Roman" w:hAnsi="Times New Roman" w:cs="Times New Roman"/>
          <w:color w:val="000000"/>
          <w:sz w:val="18"/>
          <w:szCs w:val="18"/>
        </w:rPr>
        <w:t xml:space="preserve">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abbia richiesto in ciascun anno dell’ottennio successivo anche il trasferimento nell’istituto di precedente titolarità ovvero nel comune. La continuità di servizio maturata nella scuola o nell’istituto di precedente titolarità viene valutata anche al personale docente beneficiario della precedenza di cui all’art 13, punto II) del presente contratto - alle condizioni ivi previste - che, a seguito del trasferimento d’ufficio, sia attualmente titolare su ambito. Si precisa che il punteggio in questione viene riconosciuto anche per la formulazione della graduatoria interna di istituto ai fini dell’individuazione del soprannumerario da trasferire d’ufficio. La continuità didattica, legata alla scuola di ex-titolarità, del personale scolastico trasferito d’ufficio nell’ultimo ottennio va considerata ai fini della sola domanda di trasferimento e non anche della domanda di passaggio. Nei riguardi del personale docente ed educativo soprannumerario trasferito d’ufficio senza aver prodotto domanda o trasferito a domanda condizionata, che abbia richiesto come prima preferenza in ciascun anno dell’ottennio il rientro nella scuola o nel comune di precedente titolarità, l’aver ottenuto nel corso dell’ottennio il trasferimento per altre preferenze espresse nella domanda non interrompe la continuità del servizio. Qualora, scaduto l’ottennio in questione, il docente non abbia ottenuto il rientro nella scuola di precedente titolarità i punteggi relativi alla continuità didattica nell’ottennio dovranno essere riferiti esclusivamente alla scuola ove è stato trasferito in quanto soprannumerario. Il punteggio in questione spetta anche ai docenti comandati in istituti diversi da quello di titolarità su cattedre ove si è attuata la sperimentazione a norma dell’art. 278 del D.L.vo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figure professionali di cui all’art. 5 del D.L. 6.8.1988, n. 323 convertito con modificazioni nella legge 6.10.1988, n. 426. Il punteggio in questione spetta anche ai docenti appartenenti a posto o classe di concorso in esubero utilizzati a domanda o d’ufficio ai sensi dell’art. 1 del D.</w:t>
      </w:r>
      <w:proofErr w:type="gramStart"/>
      <w:r>
        <w:rPr>
          <w:rFonts w:ascii="Times New Roman" w:eastAsia="Times New Roman" w:hAnsi="Times New Roman" w:cs="Times New Roman"/>
          <w:color w:val="000000"/>
          <w:sz w:val="18"/>
          <w:szCs w:val="18"/>
        </w:rPr>
        <w:t>L.vo</w:t>
      </w:r>
      <w:proofErr w:type="gramEnd"/>
      <w:r>
        <w:rPr>
          <w:rFonts w:ascii="Times New Roman" w:eastAsia="Times New Roman" w:hAnsi="Times New Roman" w:cs="Times New Roman"/>
          <w:color w:val="000000"/>
          <w:sz w:val="18"/>
          <w:szCs w:val="18"/>
        </w:rPr>
        <w:t xml:space="preserve"> n. 35/93, in ruolo o classe di concorso diversi da quelli di titolarità. In ogni caso non deve essere considerata interruzione della continuità del servizio nella scuola di titolarità la mancata prestazione del servizio per un periodo di durata complessiva inferiore a 6 mesi in ciascun anno scolastico. Il punteggio di cui trattasi non spetta, invece, nel caso di assegnazione provvisoria e di trasferimento annuale salvo che si tratti di docente trasferito nell’ottennio quale soprannumerario che abbia chiesto, in ciascun anno dell’ottennio medesimo, il rientro nell’istituto di precedente titolarità. Il punteggio va attribuito se la scuola di titolarità giuridica e la scuola in cui l’interessato ha prestato servizio continuativo coincidono per il periodo considerato. Il punteggio va anche attribuito nel caso di diritto al rientro nell’ottennio del personale trasferito in quanto soprannumerario. Per i docenti di istruzione secondaria di I e II grado e artistica il servizio deve essere altresì prestato nella classe di concorso di attuale titolarità. Il punteggio va anche attribuito ai docenti, già titolari sulla classe A075 e </w:t>
      </w:r>
      <w:r>
        <w:rPr>
          <w:rFonts w:ascii="Times New Roman" w:eastAsia="Times New Roman" w:hAnsi="Times New Roman" w:cs="Times New Roman"/>
          <w:color w:val="000000"/>
          <w:sz w:val="18"/>
          <w:szCs w:val="18"/>
        </w:rPr>
        <w:lastRenderedPageBreak/>
        <w:t>transitati sulla classe A076 in forza della C.M. 215/95, nella sola ipotesi che non sia cambiato l’istituto di titolarità. Non va valutato l’anno scolastico in corso al momento della presentazione della domanda.</w:t>
      </w:r>
    </w:p>
    <w:p w14:paraId="3FD91C09"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vertAlign w:val="superscript"/>
        </w:rPr>
        <w:t>(5 bis)</w:t>
      </w:r>
      <w:r>
        <w:rPr>
          <w:rFonts w:ascii="Times New Roman" w:eastAsia="Times New Roman" w:hAnsi="Times New Roman" w:cs="Times New Roman"/>
          <w:color w:val="000000"/>
          <w:sz w:val="18"/>
          <w:szCs w:val="18"/>
        </w:rPr>
        <w:t xml:space="preserve"> Ai fini della formazione della graduatoria per l’individuazione del soprannumerario ed ai fini del trasferimento d’ufficio si prescinde dal triennio, fermo restando quanto precisato nella nota 5, la continuità didattica nella scuola di attuale titolarità viene così valutata:</w:t>
      </w:r>
    </w:p>
    <w:p w14:paraId="07155AD7"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C) Per ogni anno di servizio di ruolo prestato nella scuola di attuale titolarità o di incarico triennale senza soluzione di continuità in aggiunta a quello previsto dalle lettere A), A1), B), B1), B2) </w:t>
      </w:r>
    </w:p>
    <w:p w14:paraId="594AAE37"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entro il quinquennio: Punti 2</w:t>
      </w:r>
    </w:p>
    <w:p w14:paraId="210A5218"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oltre il quinquennio: Punti 3</w:t>
      </w:r>
    </w:p>
    <w:p w14:paraId="23FC1B97"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Sempre ai fini della formazione della graduatoria per l’individuazione del soprannumerario ed ai fini del trasferimento d’ufficio, viene valutata anche la continuità di servizio nella comune di attuale titolarità, nella seguente misura:</w:t>
      </w:r>
    </w:p>
    <w:p w14:paraId="19BB4487"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C 0) Per ogni anno di servizio di ruolo prestato nel comune di attuale titolarità o di incarico triennale senza soluzione di continuità in aggiunta a quello previsto dalle lettere A), A1), B), B1), B2): Punti 1</w:t>
      </w:r>
    </w:p>
    <w:p w14:paraId="4040AC42"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Il predetto punteggio va attribuito se la sede di titolarità giuridica e la sede in cui l’interessato ha prestato servizio continuativo coincidono per il periodo considerato. Il punteggio va anche attribuito nel caso di diritto al rientro nell’ottennio del personale trasferito in quanto soprannumerario. Nei riguardi del personale docente ed educativo soprannumerario trasferito d’ufficio senza aver prodotto domanda o trasferito a domanda condizionata, che abbia richiesto come prima preferenza in ciascun anno dell’ottennio il rientro nella scuola o nel comune di precedente titolarità, l’aver ottenuto nel corso dell’ottennio il trasferimento per altre preferenze espresse nella domanda non interrompe la continuità del servizio. Per i docenti il servizio deve essere stato prestato nella stessa tipologia di posto (comune o sostegno) e per la scuola di istruzione secondaria di primo e secondo grado e artistica, il servizio deve essere altresì prestato nella stessa classe di concorso di attuale titolarità. Il trasferimento dal sostegno a posto comune o viceversa interrompe la continuità di servizio nella scuola e nel comune. Il punteggio non va attribuito ai docenti che siano stati titolari di sede distrettuale (su posto per l’istruzione dell’età adulta). Qualora il docente al termine dell’ottennio non sia rientrato nella scuola di precedente titolarità ma in altra scuola dello stesso comune, ha titolo al mantenimento del punteggio di cui alla lett. C 0) anche per tutti gli 8 anni dell’ottennio. Non va valutato l’anno scolastico in corso al momento di presentazione della domanda. Il punteggio di cui alla lettera C 0) non è cumulabile per lo stesso anno scolastico con quello previsto dalla lettera C).</w:t>
      </w:r>
    </w:p>
    <w:p w14:paraId="0C1D492E"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vertAlign w:val="superscript"/>
        </w:rPr>
        <w:t>(5 ter)</w:t>
      </w:r>
      <w:r>
        <w:rPr>
          <w:rFonts w:ascii="Times New Roman" w:eastAsia="Times New Roman" w:hAnsi="Times New Roman" w:cs="Times New Roman"/>
          <w:color w:val="000000"/>
          <w:sz w:val="18"/>
          <w:szCs w:val="18"/>
        </w:rPr>
        <w:t xml:space="preserve"> Il diritto all’attribuzione del punteggio deve essere attestato con apposita dichiarazione personale, nella quale si elencano gli anni in cui non si è presentata la domanda di mobilità volontaria in ambito provinciale alle condizioni previste nelle Tabelle di cui sopra. Ai fini della maturazione una tantum del punteggio è utile un triennio compreso nel periodo intercorrente tra le domande di mobilità per l’anno scolastico 2000-2001 e quelle per l’anno scolastico 2007-2008. Con le domande di mobilità per l’anno scolastico 2007/2008 si è, infatti, concluso il periodo utile per l’acquisizione del punteggio aggiuntivo a seguito della maturazione del triennio. Le condizioni previste alla lett. D)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 Tale punteggio viene, inoltre, riconosciuto anche a coloro che, nel suddetto periodo, hanno presentato in ambito provinciale:</w:t>
      </w:r>
    </w:p>
    <w:p w14:paraId="5A8D1E16" w14:textId="77777777" w:rsidR="00171DE6" w:rsidRDefault="00BF7655">
      <w:pPr>
        <w:pStyle w:val="Normale1"/>
        <w:pBdr>
          <w:top w:val="nil"/>
          <w:left w:val="nil"/>
          <w:bottom w:val="nil"/>
          <w:right w:val="nil"/>
          <w:between w:val="nil"/>
        </w:pBdr>
        <w:tabs>
          <w:tab w:val="left" w:pos="900"/>
        </w:tabs>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 </w:t>
      </w:r>
      <w:r>
        <w:rPr>
          <w:rFonts w:ascii="Times New Roman" w:eastAsia="Times New Roman" w:hAnsi="Times New Roman" w:cs="Times New Roman"/>
          <w:color w:val="000000"/>
          <w:sz w:val="18"/>
          <w:szCs w:val="18"/>
        </w:rPr>
        <w:t>domanda condizionata di trasferimento, in quanto individuati soprannumerari;</w:t>
      </w:r>
    </w:p>
    <w:p w14:paraId="72C80A8E" w14:textId="77777777" w:rsidR="00171DE6" w:rsidRDefault="00BF7655">
      <w:pPr>
        <w:pStyle w:val="Normale1"/>
        <w:pBdr>
          <w:top w:val="nil"/>
          <w:left w:val="nil"/>
          <w:bottom w:val="nil"/>
          <w:right w:val="nil"/>
          <w:between w:val="nil"/>
        </w:pBdr>
        <w:tabs>
          <w:tab w:val="left" w:pos="900"/>
        </w:tabs>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 </w:t>
      </w:r>
      <w:r>
        <w:rPr>
          <w:rFonts w:ascii="Times New Roman" w:eastAsia="Times New Roman" w:hAnsi="Times New Roman" w:cs="Times New Roman"/>
          <w:color w:val="000000"/>
          <w:sz w:val="18"/>
          <w:szCs w:val="18"/>
        </w:rPr>
        <w:t>domanda di trasferimento per la scuola primaria tra i posti comune e lingua straniera nell’organico dello stesso circolo di titolarità;</w:t>
      </w:r>
    </w:p>
    <w:p w14:paraId="7F49DE3F" w14:textId="77777777" w:rsidR="00171DE6" w:rsidRDefault="00BF7655">
      <w:pPr>
        <w:pStyle w:val="Normale1"/>
        <w:pBdr>
          <w:top w:val="nil"/>
          <w:left w:val="nil"/>
          <w:bottom w:val="nil"/>
          <w:right w:val="nil"/>
          <w:between w:val="nil"/>
        </w:pBdr>
        <w:tabs>
          <w:tab w:val="left" w:pos="900"/>
        </w:tabs>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 </w:t>
      </w:r>
      <w:r>
        <w:rPr>
          <w:rFonts w:ascii="Times New Roman" w:eastAsia="Times New Roman" w:hAnsi="Times New Roman" w:cs="Times New Roman"/>
          <w:color w:val="000000"/>
          <w:sz w:val="18"/>
          <w:szCs w:val="18"/>
        </w:rPr>
        <w:t>domanda di rientro nella scuola di precedente titolarità, nel quinquennio di fruizione del diritto alla precedenza di cui ai punti II e V dell’art. 13, comma 1 del CCNI.</w:t>
      </w:r>
    </w:p>
    <w:p w14:paraId="4FE0100C"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Tale punteggio, una volta acquisito, si perde esclusivamente nel caso in cui si ottenga, a seguito di domanda volontaria in ambito provinciale, il trasferimento, il passaggio o l’assegnazione provvisoria. 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V dell’art. 13, comma 1 del CCNI, il rientro nella scuola o nel comune di precedente titolarità, il trasferimento per altre preferenze espresse nella domanda o l’assegnazione provvisoria. Analogamente non perde il riconoscimento del punteggio aggiuntivo il docente trasferito d’ufficio o a domanda condizionata che nel periodo di cui sopra non chiede il rientro nella scuola di precedente titolarità. In ogni caso la sola presentazione della domanda di mobilità, anche nella provincia, non determina la perdita del punteggio aggiuntivo una volta che lo stesso è stato acquisito.</w:t>
      </w:r>
    </w:p>
    <w:p w14:paraId="61D46B42"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vertAlign w:val="superscript"/>
        </w:rPr>
        <w:t>(6)</w:t>
      </w:r>
      <w:r>
        <w:rPr>
          <w:rFonts w:ascii="Times New Roman" w:eastAsia="Times New Roman" w:hAnsi="Times New Roman" w:cs="Times New Roman"/>
          <w:color w:val="000000"/>
          <w:sz w:val="18"/>
          <w:szCs w:val="18"/>
        </w:rPr>
        <w:t xml:space="preserve"> Il punteggio spetta per il comune di residenza dei familiari a condizione che essi, alla data di pubblicazione dell’ordinanza, vi risiedano effettivamente con iscrizione anagrafica da almeno tre mesi. La residenza del familiare a cui si chiede il ricongiungimento deve essere documentata con dichiarazione personale redatta ai sensi delle disposizioni contenute nel D.P.R. 28.12.2000, n. 445 e successive modifiche ed integrazioni nei quali dovrà essere indicata la decorrenza dell’iscrizione stessa; dall’iscrizione anagrafica si prescinde quando si tratti di ricongiungimento al familiare trasferito per servizio nei tre mesi antecedenti alla data di pubblicazione dell’ordinanza. Il punteggio di ricongiungimento e quello per la cura e l’assistenza dei familiari spetta per le scuole del comune o per l’ambito o gli ambiti che comprendono il comune anche se coincidenti con la titolarità di scuola o ambito. Il punteggio spetta</w:t>
      </w:r>
      <w:r>
        <w:rPr>
          <w:rFonts w:ascii="Times New Roman" w:eastAsia="Times New Roman" w:hAnsi="Times New Roman" w:cs="Times New Roman"/>
          <w:strike/>
          <w:color w:val="000000"/>
          <w:sz w:val="18"/>
          <w:szCs w:val="18"/>
        </w:rPr>
        <w:t>no</w:t>
      </w:r>
      <w:r>
        <w:rPr>
          <w:rFonts w:ascii="Times New Roman" w:eastAsia="Times New Roman" w:hAnsi="Times New Roman" w:cs="Times New Roman"/>
          <w:color w:val="000000"/>
          <w:sz w:val="18"/>
          <w:szCs w:val="18"/>
        </w:rPr>
        <w:t xml:space="preserve">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w:t>
      </w:r>
      <w:proofErr w:type="spellStart"/>
      <w:r>
        <w:rPr>
          <w:rFonts w:ascii="Times New Roman" w:eastAsia="Times New Roman" w:hAnsi="Times New Roman" w:cs="Times New Roman"/>
          <w:color w:val="000000"/>
          <w:sz w:val="18"/>
          <w:szCs w:val="18"/>
        </w:rPr>
        <w:t>viciniorietà</w:t>
      </w:r>
      <w:proofErr w:type="spellEnd"/>
      <w:r>
        <w:rPr>
          <w:rFonts w:ascii="Times New Roman" w:eastAsia="Times New Roman" w:hAnsi="Times New Roman" w:cs="Times New Roman"/>
          <w:color w:val="000000"/>
          <w:sz w:val="18"/>
          <w:szCs w:val="18"/>
        </w:rPr>
        <w:t xml:space="preserve">,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ambito che comprenda predetto comune. I punteggi per le esigenze di famiglia di cui alle lettere A), B), C), D) sono cumulabili fra loro. Ai sensi della legge 76 del 20 maggio 2016 per coniuge si intende anche la parte dell’unione civile. </w:t>
      </w:r>
    </w:p>
    <w:p w14:paraId="2D23A715"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vertAlign w:val="superscript"/>
        </w:rPr>
        <w:t>(7)</w:t>
      </w:r>
      <w:r>
        <w:rPr>
          <w:rFonts w:ascii="Times New Roman" w:eastAsia="Times New Roman" w:hAnsi="Times New Roman" w:cs="Times New Roman"/>
          <w:color w:val="000000"/>
          <w:sz w:val="18"/>
          <w:szCs w:val="18"/>
        </w:rPr>
        <w:t xml:space="preserve"> Ai fini della formulazione della graduatoria per l’individuazione del soprannumerario, le esigenze di famiglia, da considerarsi in questo caso come esigenze di non allontanamento dalla scuola e dal comune di attuale titolarità o di incarico triennale, sono valutate nella seguente maniera:</w:t>
      </w:r>
    </w:p>
    <w:p w14:paraId="4BCD9DE1"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u w:val="single"/>
        </w:rPr>
        <w:lastRenderedPageBreak/>
        <w:t>lettera A)</w:t>
      </w:r>
      <w:r>
        <w:rPr>
          <w:rFonts w:ascii="Times New Roman" w:eastAsia="Times New Roman" w:hAnsi="Times New Roman" w:cs="Times New Roman"/>
          <w:color w:val="000000"/>
          <w:sz w:val="18"/>
          <w:szCs w:val="18"/>
        </w:rPr>
        <w:t xml:space="preserve"> (ricongiungimento al coniuge, etc..) vale quando il familiare è residente nel comune di titolarità del docente. Tale punteggio spetta anche nel caso in cui nel comune di ricongiungimento non vi siano istituzioni scolastiche richiedibili (cioè che non comprendano l’insegnamento del richiedente) e lo stesso risulti viciniore alla sede di titolarità. Qualora il comune di residenza del familiare, ovvero il comune per il quale sussistono le condizioni di cui alla lettera D della Tabella a - Parte II, non sia sede di organico il punteggio va attribuito per il comune sede dell’istituzione scolastica che abbia un plesso nel comune di residenza del familiare, ovvero nel comune per il quale sussistono le condizioni di cui alla lettera D della Tabella a - Parte II. </w:t>
      </w:r>
    </w:p>
    <w:p w14:paraId="2A2EA4FE"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u w:val="single"/>
        </w:rPr>
        <w:t>lettera B) e lettera C)</w:t>
      </w:r>
      <w:r>
        <w:rPr>
          <w:rFonts w:ascii="Times New Roman" w:eastAsia="Times New Roman" w:hAnsi="Times New Roman" w:cs="Times New Roman"/>
          <w:color w:val="000000"/>
          <w:sz w:val="18"/>
          <w:szCs w:val="18"/>
        </w:rPr>
        <w:t xml:space="preserve"> valgono sempre; </w:t>
      </w:r>
    </w:p>
    <w:p w14:paraId="5A7C7F76"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u w:val="single"/>
        </w:rPr>
        <w:t>lettera D)</w:t>
      </w:r>
      <w:r>
        <w:rPr>
          <w:rFonts w:ascii="Times New Roman" w:eastAsia="Times New Roman" w:hAnsi="Times New Roman" w:cs="Times New Roman"/>
          <w:color w:val="000000"/>
          <w:sz w:val="18"/>
          <w:szCs w:val="18"/>
        </w:rPr>
        <w:t xml:space="preserve"> (cura e assistenza dei figli minorati, etc..) vale quando il comune in cui può essere prestata l’assistenza coincide con il comune di titolarità del docente oppure è ad esso viciniore, qualora nel comune medesimo non vi siano sedi scolastiche richiedibili.</w:t>
      </w:r>
    </w:p>
    <w:p w14:paraId="7532ADE0"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Il punteggio così calcolato viene utilizzato anche nelle operazioni di trasferimento d’ufficio del soprannumerario. </w:t>
      </w:r>
    </w:p>
    <w:p w14:paraId="34456CAD"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vertAlign w:val="superscript"/>
        </w:rPr>
        <w:t>(8)</w:t>
      </w:r>
      <w:r>
        <w:rPr>
          <w:rFonts w:ascii="Times New Roman" w:eastAsia="Times New Roman" w:hAnsi="Times New Roman" w:cs="Times New Roman"/>
          <w:color w:val="000000"/>
          <w:sz w:val="18"/>
          <w:szCs w:val="18"/>
        </w:rPr>
        <w:t xml:space="preserve"> Il punteggio va attribuito anche per i figli che compiono i sei anni o i diciotto tra il </w:t>
      </w:r>
      <w:proofErr w:type="gramStart"/>
      <w:r>
        <w:rPr>
          <w:rFonts w:ascii="Times New Roman" w:eastAsia="Times New Roman" w:hAnsi="Times New Roman" w:cs="Times New Roman"/>
          <w:color w:val="000000"/>
          <w:sz w:val="18"/>
          <w:szCs w:val="18"/>
        </w:rPr>
        <w:t>1 gennaio</w:t>
      </w:r>
      <w:proofErr w:type="gramEnd"/>
      <w:r>
        <w:rPr>
          <w:rFonts w:ascii="Times New Roman" w:eastAsia="Times New Roman" w:hAnsi="Times New Roman" w:cs="Times New Roman"/>
          <w:color w:val="000000"/>
          <w:sz w:val="18"/>
          <w:szCs w:val="18"/>
        </w:rPr>
        <w:t xml:space="preserve"> e il 31 dicembre dell’anno in cui si effettua il trasferimento.</w:t>
      </w:r>
    </w:p>
    <w:p w14:paraId="6666FDE4"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vertAlign w:val="superscript"/>
        </w:rPr>
        <w:t>(9)</w:t>
      </w:r>
      <w:r>
        <w:rPr>
          <w:rFonts w:ascii="Times New Roman" w:eastAsia="Times New Roman" w:hAnsi="Times New Roman" w:cs="Times New Roman"/>
          <w:color w:val="000000"/>
          <w:sz w:val="18"/>
          <w:szCs w:val="18"/>
        </w:rPr>
        <w:t xml:space="preserve"> La valutazione è attribuita nei seguenti casi: a) figlio minorato, ovvero coniuge o parte dell’unione civile o genitore, ricoverati permanentemente in un istituto di cura; b) figlio minorato, ovvero coniuge o parte dell’unione civile o genitore bisognosi di cure continuative presso un istituto di cura tali da comportare di necessità la residenza nella sede dello istituto medesimo. c) 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14:paraId="1826F3E4"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vertAlign w:val="superscript"/>
        </w:rPr>
        <w:t>(10)</w:t>
      </w:r>
      <w:r>
        <w:rPr>
          <w:rFonts w:ascii="Times New Roman" w:eastAsia="Times New Roman" w:hAnsi="Times New Roman" w:cs="Times New Roman"/>
          <w:color w:val="000000"/>
          <w:sz w:val="18"/>
          <w:szCs w:val="18"/>
        </w:rPr>
        <w:t xml:space="preserve"> Si precisa che ai sensi della lettera B) si valuta un solo pubblico concorso. 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 I concorsi ordinari a posti di personale educativo sono da considerare di livello pari ai concorsi della scuola primaria. I concorsi a posti di personale ispettivo e dirigente scolastico sono da considerare di livello superiore rispetto ai concorsi a posti di insegnamento.</w:t>
      </w:r>
      <w:r>
        <w:rPr>
          <w:rFonts w:ascii="Times New Roman" w:eastAsia="Times New Roman" w:hAnsi="Times New Roman" w:cs="Times New Roman"/>
          <w:i/>
          <w:color w:val="000000"/>
          <w:sz w:val="18"/>
          <w:szCs w:val="18"/>
        </w:rPr>
        <w:t xml:space="preserve"> </w:t>
      </w:r>
      <w:r>
        <w:rPr>
          <w:rFonts w:ascii="Times New Roman" w:eastAsia="Times New Roman" w:hAnsi="Times New Roman" w:cs="Times New Roman"/>
          <w:color w:val="000000"/>
          <w:sz w:val="18"/>
          <w:szCs w:val="18"/>
        </w:rP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 Sono ovviamente esclusi i concorsi riservati per il conseguimento dell’abilitazione o dell’idoneità all’insegnamento e la partecipazione a concorsi ordinari ai soli fini del conseguimento dell’abilitazione. Ai sensi dell’art. 5 del D.M. 5 maggio 1973, sono esclusi coloro che hanno conseguito la sola abilitazione riportando un punteggio inferiore a 52,50/75 nei concorsi ordinari per l’accesso a posti e cattedre nella scuola banditi antecedentemente alla legge 270/82. Tale punteggio spetta anche per l’accesso a tutte le classi di concorso appartenenti allo stesso ambito disciplinare per il quale si è conseguita l’idoneità in un concorso ordinario per esami e titoli bandito in attuazione della legge 124/1999.</w:t>
      </w:r>
    </w:p>
    <w:p w14:paraId="29672010"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vertAlign w:val="superscript"/>
        </w:rPr>
        <w:t>(11)</w:t>
      </w:r>
      <w:r>
        <w:rPr>
          <w:rFonts w:ascii="Times New Roman" w:eastAsia="Times New Roman" w:hAnsi="Times New Roman" w:cs="Times New Roman"/>
          <w:color w:val="000000"/>
          <w:sz w:val="18"/>
          <w:szCs w:val="18"/>
        </w:rPr>
        <w:t xml:space="preserve">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 integrazioni. 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14:paraId="7445BC0F"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vertAlign w:val="superscript"/>
        </w:rPr>
        <w:t>(11 bis)</w:t>
      </w:r>
      <w:r>
        <w:rPr>
          <w:rFonts w:ascii="Times New Roman" w:eastAsia="Times New Roman" w:hAnsi="Times New Roman" w:cs="Times New Roman"/>
          <w:color w:val="000000"/>
          <w:sz w:val="18"/>
          <w:szCs w:val="18"/>
        </w:rPr>
        <w:t xml:space="preserve"> Si ricorda che a norma dell’art. 10 del D.L.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 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14:paraId="324C78C5"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vertAlign w:val="superscript"/>
        </w:rPr>
        <w:t>(12)</w:t>
      </w:r>
      <w:r>
        <w:rPr>
          <w:rFonts w:ascii="Times New Roman" w:eastAsia="Times New Roman" w:hAnsi="Times New Roman" w:cs="Times New Roman"/>
          <w:color w:val="000000"/>
          <w:sz w:val="18"/>
          <w:szCs w:val="18"/>
        </w:rPr>
        <w:t xml:space="preserve"> 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 La laurea triennale o di I livello che consente l’accesso alla laurea specialistica o magistrale non dà diritto ad avvalersi di ulteriore punteggio rispetto a queste ultime. Analogamente il diploma accademico di primo livello non dà diritto ad avvalersi di ulteriore punteggio rispetto al diploma accademico del medesimo secondo livello. Il diploma di laurea in scienze della formazione primaria non si valuta in quanto è un titolo richiesto per l’accesso al ruolo di appartenenza. Pertanto alla laurea in scienze della formazione primaria con indirizzo-infanzia,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formazione primaria con indirizzo-primaria, titolo non utile ai fini dell’accesso al ruolo della scuola dell’infanzia, verrà riconosciuto il punteggio di n. 5 punti in quanto titolo aggiuntivo a quello necessario per l’accesso al ruolo di appartenenza. Il diploma di laurea in Didattica della musica non si valuta: ai docenti titolari delle classi di concorso A031 e A032 in quanto titolo richiesto per l’accesso al ruolo di appartenenza; ai docenti titolari della classe di concorso A077 qualora riconosciuto come titolo valido </w:t>
      </w:r>
      <w:proofErr w:type="spellStart"/>
      <w:r>
        <w:rPr>
          <w:rFonts w:ascii="Times New Roman" w:eastAsia="Times New Roman" w:hAnsi="Times New Roman" w:cs="Times New Roman"/>
          <w:color w:val="000000"/>
          <w:sz w:val="18"/>
          <w:szCs w:val="18"/>
        </w:rPr>
        <w:t>ope</w:t>
      </w:r>
      <w:proofErr w:type="spellEnd"/>
      <w:r>
        <w:rPr>
          <w:rFonts w:ascii="Times New Roman" w:eastAsia="Times New Roman" w:hAnsi="Times New Roman" w:cs="Times New Roman"/>
          <w:color w:val="000000"/>
          <w:sz w:val="18"/>
          <w:szCs w:val="18"/>
        </w:rPr>
        <w:t xml:space="preserve"> legis ai fini dell’accesso a tale classe di concorso (art. 1, comma 2 bis del D.L. 3 luglio 2001, n. 255, convertito con modificazioni dalla L. n. 333/2001; art. 2, comma 4 bis del D.L. n. 97/2004, convertito con modificazioni dalla L. n. 143/2004; art. 1, comma 605 L. n. 296/2006).</w:t>
      </w:r>
    </w:p>
    <w:p w14:paraId="3AC1F801"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vertAlign w:val="superscript"/>
        </w:rPr>
        <w:t>(13)</w:t>
      </w:r>
      <w:r>
        <w:rPr>
          <w:rFonts w:ascii="Times New Roman" w:eastAsia="Times New Roman" w:hAnsi="Times New Roman" w:cs="Times New Roman"/>
          <w:color w:val="000000"/>
          <w:sz w:val="18"/>
          <w:szCs w:val="18"/>
        </w:rPr>
        <w:t xml:space="preserve"> Il punteggio può essere attribuito anche al personale diplomato.</w:t>
      </w:r>
    </w:p>
    <w:p w14:paraId="3E54216B"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vertAlign w:val="superscript"/>
        </w:rPr>
        <w:t>(14)</w:t>
      </w:r>
      <w:r>
        <w:rPr>
          <w:rFonts w:ascii="Times New Roman" w:eastAsia="Times New Roman" w:hAnsi="Times New Roman" w:cs="Times New Roman"/>
          <w:color w:val="000000"/>
          <w:sz w:val="18"/>
          <w:szCs w:val="18"/>
        </w:rPr>
        <w:t xml:space="preserve"> I corsi tenuti a decorrere dall’anno accademico 2005/06 saranno valutati esclusivamente se di durata annuale, con 1500 ore complessive di impegno, con un riconoscimento di 60 CFU e con esame finale.</w:t>
      </w:r>
    </w:p>
    <w:p w14:paraId="3C92E4A8"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vertAlign w:val="superscript"/>
        </w:rPr>
        <w:lastRenderedPageBreak/>
        <w:t>(15)</w:t>
      </w:r>
      <w:r>
        <w:rPr>
          <w:rFonts w:ascii="Times New Roman" w:eastAsia="Times New Roman" w:hAnsi="Times New Roman" w:cs="Times New Roman"/>
          <w:color w:val="000000"/>
          <w:sz w:val="18"/>
          <w:szCs w:val="18"/>
        </w:rPr>
        <w:t xml:space="preserve"> Limitatamente alla mobilità nell’ambito dell’insegnamento della religione cattolica sono considerati validi i titoli previsti dal D.P.R. 751/85 e specificati dal DM 15.7.87 e successive modificazioni ed integrazioni.</w:t>
      </w:r>
    </w:p>
    <w:p w14:paraId="6A5AD240" w14:textId="77777777" w:rsidR="00171DE6" w:rsidRDefault="00BF7655">
      <w:pPr>
        <w:pStyle w:val="Normale1"/>
        <w:pBdr>
          <w:top w:val="nil"/>
          <w:left w:val="nil"/>
          <w:bottom w:val="nil"/>
          <w:right w:val="nil"/>
          <w:between w:val="nil"/>
        </w:pBdr>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sz w:val="18"/>
          <w:szCs w:val="18"/>
          <w:vertAlign w:val="superscript"/>
        </w:rPr>
        <w:t>(16)</w:t>
      </w:r>
      <w:r>
        <w:rPr>
          <w:rFonts w:ascii="Times New Roman" w:eastAsia="Times New Roman" w:hAnsi="Times New Roman" w:cs="Times New Roman"/>
          <w:color w:val="000000"/>
          <w:sz w:val="18"/>
          <w:szCs w:val="18"/>
        </w:rPr>
        <w:t xml:space="preserve"> Il punteggio viene attribuito per il conseguimento di un solo titolo linguistico.</w:t>
      </w:r>
    </w:p>
    <w:sectPr w:rsidR="00171DE6" w:rsidSect="00E62140">
      <w:pgSz w:w="11906" w:h="16838"/>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DE6"/>
    <w:rsid w:val="000B61D2"/>
    <w:rsid w:val="00140C49"/>
    <w:rsid w:val="00171DE6"/>
    <w:rsid w:val="001A4154"/>
    <w:rsid w:val="001C6AE2"/>
    <w:rsid w:val="002B465B"/>
    <w:rsid w:val="003C391B"/>
    <w:rsid w:val="004021BF"/>
    <w:rsid w:val="004675DA"/>
    <w:rsid w:val="007B2ABA"/>
    <w:rsid w:val="008525A2"/>
    <w:rsid w:val="00A52733"/>
    <w:rsid w:val="00AC1184"/>
    <w:rsid w:val="00B0153A"/>
    <w:rsid w:val="00B57D68"/>
    <w:rsid w:val="00BF7655"/>
    <w:rsid w:val="00DC5B68"/>
    <w:rsid w:val="00DF7FA6"/>
    <w:rsid w:val="00E62140"/>
    <w:rsid w:val="00EE105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0778B"/>
  <w15:docId w15:val="{67C9A818-9EAA-44F8-A6EC-551FBB7B4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40C49"/>
  </w:style>
  <w:style w:type="paragraph" w:styleId="Titolo1">
    <w:name w:val="heading 1"/>
    <w:basedOn w:val="Normale1"/>
    <w:next w:val="Normale1"/>
    <w:rsid w:val="00171DE6"/>
    <w:pPr>
      <w:keepNext/>
      <w:keepLines/>
      <w:spacing w:before="480" w:after="120"/>
      <w:outlineLvl w:val="0"/>
    </w:pPr>
    <w:rPr>
      <w:b/>
      <w:sz w:val="48"/>
      <w:szCs w:val="48"/>
    </w:rPr>
  </w:style>
  <w:style w:type="paragraph" w:styleId="Titolo2">
    <w:name w:val="heading 2"/>
    <w:basedOn w:val="Normale1"/>
    <w:next w:val="Normale1"/>
    <w:rsid w:val="00171DE6"/>
    <w:pPr>
      <w:keepNext/>
      <w:keepLines/>
      <w:spacing w:before="360" w:after="80"/>
      <w:outlineLvl w:val="1"/>
    </w:pPr>
    <w:rPr>
      <w:b/>
      <w:sz w:val="36"/>
      <w:szCs w:val="36"/>
    </w:rPr>
  </w:style>
  <w:style w:type="paragraph" w:styleId="Titolo3">
    <w:name w:val="heading 3"/>
    <w:basedOn w:val="Normale1"/>
    <w:next w:val="Normale1"/>
    <w:rsid w:val="00171DE6"/>
    <w:pPr>
      <w:keepNext/>
      <w:keepLines/>
      <w:spacing w:before="280" w:after="80"/>
      <w:outlineLvl w:val="2"/>
    </w:pPr>
    <w:rPr>
      <w:b/>
      <w:sz w:val="28"/>
      <w:szCs w:val="28"/>
    </w:rPr>
  </w:style>
  <w:style w:type="paragraph" w:styleId="Titolo4">
    <w:name w:val="heading 4"/>
    <w:basedOn w:val="Normale1"/>
    <w:next w:val="Normale1"/>
    <w:rsid w:val="00171DE6"/>
    <w:pPr>
      <w:keepNext/>
      <w:keepLines/>
      <w:spacing w:before="240" w:after="40"/>
      <w:outlineLvl w:val="3"/>
    </w:pPr>
    <w:rPr>
      <w:b/>
      <w:sz w:val="24"/>
      <w:szCs w:val="24"/>
    </w:rPr>
  </w:style>
  <w:style w:type="paragraph" w:styleId="Titolo5">
    <w:name w:val="heading 5"/>
    <w:basedOn w:val="Normale1"/>
    <w:next w:val="Normale1"/>
    <w:rsid w:val="00171DE6"/>
    <w:pPr>
      <w:keepNext/>
      <w:keepLines/>
      <w:spacing w:before="220" w:after="40"/>
      <w:outlineLvl w:val="4"/>
    </w:pPr>
    <w:rPr>
      <w:b/>
      <w:sz w:val="22"/>
      <w:szCs w:val="22"/>
    </w:rPr>
  </w:style>
  <w:style w:type="paragraph" w:styleId="Titolo6">
    <w:name w:val="heading 6"/>
    <w:basedOn w:val="Normale1"/>
    <w:next w:val="Normale1"/>
    <w:rsid w:val="00171DE6"/>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171DE6"/>
  </w:style>
  <w:style w:type="table" w:customStyle="1" w:styleId="TableNormal">
    <w:name w:val="Table Normal"/>
    <w:rsid w:val="00171DE6"/>
    <w:tblPr>
      <w:tblCellMar>
        <w:top w:w="0" w:type="dxa"/>
        <w:left w:w="0" w:type="dxa"/>
        <w:bottom w:w="0" w:type="dxa"/>
        <w:right w:w="0" w:type="dxa"/>
      </w:tblCellMar>
    </w:tblPr>
  </w:style>
  <w:style w:type="paragraph" w:styleId="Titolo">
    <w:name w:val="Title"/>
    <w:basedOn w:val="Normale1"/>
    <w:next w:val="Normale1"/>
    <w:rsid w:val="00171DE6"/>
    <w:pPr>
      <w:keepNext/>
      <w:keepLines/>
      <w:spacing w:before="480" w:after="120"/>
    </w:pPr>
    <w:rPr>
      <w:b/>
      <w:sz w:val="72"/>
      <w:szCs w:val="72"/>
    </w:rPr>
  </w:style>
  <w:style w:type="paragraph" w:styleId="Sottotitolo">
    <w:name w:val="Subtitle"/>
    <w:basedOn w:val="Normale1"/>
    <w:next w:val="Normale1"/>
    <w:rsid w:val="00171DE6"/>
    <w:pPr>
      <w:keepNext/>
      <w:keepLines/>
      <w:spacing w:before="360" w:after="80"/>
    </w:pPr>
    <w:rPr>
      <w:rFonts w:ascii="Georgia" w:eastAsia="Georgia" w:hAnsi="Georgia" w:cs="Georgia"/>
      <w:i/>
      <w:color w:val="666666"/>
      <w:sz w:val="48"/>
      <w:szCs w:val="48"/>
    </w:rPr>
  </w:style>
  <w:style w:type="table" w:customStyle="1" w:styleId="a">
    <w:basedOn w:val="TableNormal"/>
    <w:rsid w:val="00171DE6"/>
    <w:tblPr>
      <w:tblStyleRowBandSize w:val="1"/>
      <w:tblStyleColBandSize w:val="1"/>
    </w:tblPr>
  </w:style>
  <w:style w:type="table" w:customStyle="1" w:styleId="a0">
    <w:basedOn w:val="TableNormal"/>
    <w:rsid w:val="00171DE6"/>
    <w:tblPr>
      <w:tblStyleRowBandSize w:val="1"/>
      <w:tblStyleColBandSize w:val="1"/>
    </w:tblPr>
  </w:style>
  <w:style w:type="table" w:customStyle="1" w:styleId="a1">
    <w:basedOn w:val="TableNormal"/>
    <w:rsid w:val="00171DE6"/>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8071</Words>
  <Characters>46007</Characters>
  <Application>Microsoft Office Word</Application>
  <DocSecurity>0</DocSecurity>
  <Lines>383</Lines>
  <Paragraphs>107</Paragraphs>
  <ScaleCrop>false</ScaleCrop>
  <HeadingPairs>
    <vt:vector size="2" baseType="variant">
      <vt:variant>
        <vt:lpstr>Titolo</vt:lpstr>
      </vt:variant>
      <vt:variant>
        <vt:i4>1</vt:i4>
      </vt:variant>
    </vt:vector>
  </HeadingPairs>
  <TitlesOfParts>
    <vt:vector size="1" baseType="lpstr">
      <vt:lpstr/>
    </vt:vector>
  </TitlesOfParts>
  <Company>windows</Company>
  <LinksUpToDate>false</LinksUpToDate>
  <CharactersWithSpaces>53971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ROSANNA</dc:creator>
  <cp:lastModifiedBy>Anna Maria D'Angelo</cp:lastModifiedBy>
  <cp:revision>2</cp:revision>
  <dcterms:created xsi:type="dcterms:W3CDTF">2024-02-13T19:43:00Z</dcterms:created>
  <dcterms:modified xsi:type="dcterms:W3CDTF">2024-02-13T19:43:00Z</dcterms:modified>
</cp:coreProperties>
</file>